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7D22" w14:textId="77777777" w:rsidR="00F34E8F" w:rsidRDefault="00F34E8F" w:rsidP="00F34E8F"/>
    <w:p w14:paraId="2C234D2E" w14:textId="77777777" w:rsidR="00CA6FB0" w:rsidRPr="00CA6FB0" w:rsidRDefault="00CA6FB0" w:rsidP="00CA6FB0">
      <w:pPr>
        <w:jc w:val="center"/>
        <w:rPr>
          <w:b/>
        </w:rPr>
      </w:pPr>
      <w:r w:rsidRPr="00CA6FB0">
        <w:rPr>
          <w:b/>
        </w:rPr>
        <w:t>TAX ALERT</w:t>
      </w:r>
    </w:p>
    <w:p w14:paraId="6154B0A8" w14:textId="77777777" w:rsidR="00CA6FB0" w:rsidRDefault="001D5502" w:rsidP="00CA6FB0">
      <w:pPr>
        <w:jc w:val="center"/>
        <w:rPr>
          <w:b/>
        </w:rPr>
      </w:pPr>
      <w:r>
        <w:rPr>
          <w:b/>
        </w:rPr>
        <w:t xml:space="preserve">2020 </w:t>
      </w:r>
      <w:r w:rsidR="00CA6FB0" w:rsidRPr="00CA6FB0">
        <w:rPr>
          <w:b/>
        </w:rPr>
        <w:t>NORTH CAROLINA TAX LEGISLATION</w:t>
      </w:r>
    </w:p>
    <w:p w14:paraId="0909F9CC" w14:textId="77777777" w:rsidR="00F87ECF" w:rsidRDefault="00F87ECF" w:rsidP="00CA6FB0">
      <w:pPr>
        <w:jc w:val="center"/>
        <w:rPr>
          <w:b/>
        </w:rPr>
      </w:pPr>
      <w:r>
        <w:rPr>
          <w:b/>
        </w:rPr>
        <w:t>William W. Nelson</w:t>
      </w:r>
    </w:p>
    <w:p w14:paraId="5EC0B5A3" w14:textId="77777777" w:rsidR="00F87ECF" w:rsidRDefault="00F87ECF" w:rsidP="00CA6FB0">
      <w:pPr>
        <w:jc w:val="center"/>
        <w:rPr>
          <w:b/>
        </w:rPr>
      </w:pPr>
      <w:r>
        <w:rPr>
          <w:b/>
        </w:rPr>
        <w:t>Smith Anderson</w:t>
      </w:r>
    </w:p>
    <w:p w14:paraId="220526B4" w14:textId="77777777" w:rsidR="00F87ECF" w:rsidRPr="00CA6FB0" w:rsidRDefault="00F87ECF" w:rsidP="00CA6FB0">
      <w:pPr>
        <w:jc w:val="center"/>
        <w:rPr>
          <w:b/>
        </w:rPr>
      </w:pPr>
      <w:r>
        <w:rPr>
          <w:b/>
        </w:rPr>
        <w:t>June 29, 2020</w:t>
      </w:r>
    </w:p>
    <w:p w14:paraId="3AAA7DDD" w14:textId="77777777" w:rsidR="006D0DAA" w:rsidRDefault="00CA6FB0" w:rsidP="00F34E8F">
      <w:r>
        <w:t xml:space="preserve">The North Carolina General Assembly concluded the regular business of its 2020 session on Friday, June 26, 2020. While the session will not formally adjourn until September 3, the only business expected to be considered between now and then is limited to addressing potential </w:t>
      </w:r>
      <w:r w:rsidR="006D0DAA">
        <w:t>gubernatorial vetoes</w:t>
      </w:r>
      <w:r>
        <w:t xml:space="preserve">, </w:t>
      </w:r>
      <w:r w:rsidR="006D0DAA">
        <w:t>handling appointments and appropriating federal pandemic relief funds. Consequently, although the 20</w:t>
      </w:r>
      <w:r>
        <w:t>20 session</w:t>
      </w:r>
      <w:r w:rsidR="006D0DAA">
        <w:t xml:space="preserve"> will technically continue for more than two months, no further tax legislation is expected.</w:t>
      </w:r>
    </w:p>
    <w:p w14:paraId="39AB6326" w14:textId="77777777" w:rsidR="00E9428C" w:rsidRDefault="00CA6FB0" w:rsidP="00F34E8F">
      <w:r>
        <w:t>Two prior Alerts summarized the tax provisions included in Senate Bill 704, the General Assembly’s COVID-19 response bill</w:t>
      </w:r>
      <w:r w:rsidRPr="00CA6FB0">
        <w:t xml:space="preserve">, and in </w:t>
      </w:r>
      <w:r>
        <w:t xml:space="preserve">the original version of </w:t>
      </w:r>
      <w:r w:rsidRPr="00CA6FB0">
        <w:t>House Bill 10</w:t>
      </w:r>
      <w:r>
        <w:t>8</w:t>
      </w:r>
      <w:r w:rsidRPr="00CA6FB0">
        <w:t>0</w:t>
      </w:r>
      <w:r>
        <w:t>, the session’s omnibus tax measure</w:t>
      </w:r>
      <w:r w:rsidR="00302790">
        <w:t>.</w:t>
      </w:r>
      <w:r>
        <w:t xml:space="preserve"> </w:t>
      </w:r>
      <w:r>
        <w:rPr>
          <w:b/>
        </w:rPr>
        <w:t xml:space="preserve"> </w:t>
      </w:r>
      <w:r>
        <w:t xml:space="preserve"> After several amendment</w:t>
      </w:r>
      <w:r w:rsidR="00E9428C">
        <w:t>s</w:t>
      </w:r>
      <w:r>
        <w:t xml:space="preserve">, House Bill 1080 </w:t>
      </w:r>
      <w:r w:rsidR="00F34E8F" w:rsidRPr="00F34E8F">
        <w:t xml:space="preserve">was </w:t>
      </w:r>
      <w:r w:rsidR="00007361">
        <w:t xml:space="preserve">ratified </w:t>
      </w:r>
      <w:r w:rsidR="00F34E8F" w:rsidRPr="00F34E8F">
        <w:t xml:space="preserve">on </w:t>
      </w:r>
      <w:r w:rsidR="00007361">
        <w:t>June 25</w:t>
      </w:r>
      <w:r w:rsidR="00F34E8F" w:rsidRPr="00F34E8F">
        <w:t>, 2020</w:t>
      </w:r>
      <w:r w:rsidR="00007361">
        <w:t xml:space="preserve"> and presented to the Governor, who is expected to sign it</w:t>
      </w:r>
      <w:r w:rsidR="00F34E8F" w:rsidRPr="00F34E8F">
        <w:t>.</w:t>
      </w:r>
      <w:r w:rsidR="00E9428C">
        <w:t xml:space="preserve"> The </w:t>
      </w:r>
      <w:r>
        <w:t xml:space="preserve">General Assembly </w:t>
      </w:r>
      <w:r w:rsidR="00E9428C">
        <w:t xml:space="preserve">also </w:t>
      </w:r>
      <w:r>
        <w:t xml:space="preserve">enacted a separate sales tax measure and several other bills that included changes to the North Carolina Revenue Act.  </w:t>
      </w:r>
      <w:r w:rsidR="00F34E8F" w:rsidRPr="00F34E8F">
        <w:t xml:space="preserve">This Alert </w:t>
      </w:r>
      <w:r w:rsidR="00007361">
        <w:t xml:space="preserve">updates </w:t>
      </w:r>
      <w:r>
        <w:t xml:space="preserve">and supplements </w:t>
      </w:r>
      <w:r w:rsidR="00007361">
        <w:t>our previous Alert</w:t>
      </w:r>
      <w:r>
        <w:t>s</w:t>
      </w:r>
      <w:r w:rsidR="00007361">
        <w:t xml:space="preserve"> </w:t>
      </w:r>
      <w:r>
        <w:t xml:space="preserve">and </w:t>
      </w:r>
      <w:r w:rsidR="00F34E8F" w:rsidRPr="00F34E8F">
        <w:t xml:space="preserve">summarizes the more important </w:t>
      </w:r>
      <w:r>
        <w:t>tax provisions of all legislation enacted during this session</w:t>
      </w:r>
      <w:r w:rsidR="00F34E8F" w:rsidRPr="00F34E8F">
        <w:t xml:space="preserve">. </w:t>
      </w:r>
    </w:p>
    <w:p w14:paraId="7F0776CD" w14:textId="77777777" w:rsidR="00F34E8F" w:rsidRPr="00F34E8F" w:rsidRDefault="00F34E8F" w:rsidP="00F34E8F">
      <w:r w:rsidRPr="00F34E8F">
        <w:t xml:space="preserve">Readers should note that </w:t>
      </w:r>
      <w:r w:rsidR="00CA6FB0">
        <w:t xml:space="preserve">the Governor has yet to sign House Bill 1080 </w:t>
      </w:r>
      <w:r w:rsidR="00E9428C">
        <w:t>and</w:t>
      </w:r>
      <w:r w:rsidR="00CA6FB0">
        <w:t xml:space="preserve"> several of the other ratified bills discussed below, and the provisions included in these bills </w:t>
      </w:r>
      <w:r w:rsidRPr="00F34E8F">
        <w:t>will not become effective unless and until the bill</w:t>
      </w:r>
      <w:r w:rsidR="00CA6FB0">
        <w:t>s are</w:t>
      </w:r>
      <w:r w:rsidRPr="00F34E8F">
        <w:t xml:space="preserve"> signed by the Governor or otherwise become law. </w:t>
      </w:r>
    </w:p>
    <w:p w14:paraId="5C659A0C" w14:textId="77777777" w:rsidR="00F34E8F" w:rsidRPr="00F34E8F" w:rsidRDefault="00F34E8F" w:rsidP="00F34E8F">
      <w:r w:rsidRPr="00F34E8F">
        <w:t>Provisions covered in this Alert:</w:t>
      </w:r>
    </w:p>
    <w:p w14:paraId="40D396B3" w14:textId="77777777" w:rsidR="00F34E8F" w:rsidRPr="003A73C7" w:rsidRDefault="00636F9E" w:rsidP="00F34E8F">
      <w:pPr>
        <w:numPr>
          <w:ilvl w:val="0"/>
          <w:numId w:val="1"/>
        </w:numPr>
      </w:pPr>
      <w:hyperlink w:anchor="A1" w:history="1">
        <w:r w:rsidR="00F34E8F" w:rsidRPr="003A73C7">
          <w:rPr>
            <w:rStyle w:val="Hyperlink"/>
            <w:b/>
            <w:bCs/>
            <w:color w:val="auto"/>
          </w:rPr>
          <w:t>Internal Revenue Code Update</w:t>
        </w:r>
      </w:hyperlink>
    </w:p>
    <w:p w14:paraId="104930CA" w14:textId="77777777" w:rsidR="00F34E8F" w:rsidRPr="003A73C7" w:rsidRDefault="00636F9E" w:rsidP="00F34E8F">
      <w:pPr>
        <w:numPr>
          <w:ilvl w:val="0"/>
          <w:numId w:val="1"/>
        </w:numPr>
      </w:pPr>
      <w:hyperlink w:anchor="A2" w:history="1">
        <w:r w:rsidR="00F34E8F" w:rsidRPr="003A73C7">
          <w:rPr>
            <w:rStyle w:val="Hyperlink"/>
            <w:b/>
            <w:bCs/>
            <w:color w:val="auto"/>
          </w:rPr>
          <w:t>Personal Income Tax Changes</w:t>
        </w:r>
      </w:hyperlink>
    </w:p>
    <w:p w14:paraId="62E16E1A" w14:textId="77777777" w:rsidR="00F34E8F" w:rsidRPr="003A73C7" w:rsidRDefault="00636F9E" w:rsidP="00F34E8F">
      <w:pPr>
        <w:numPr>
          <w:ilvl w:val="0"/>
          <w:numId w:val="1"/>
        </w:numPr>
      </w:pPr>
      <w:hyperlink w:anchor="A3" w:history="1">
        <w:r w:rsidR="00F34E8F" w:rsidRPr="003A73C7">
          <w:rPr>
            <w:rStyle w:val="Hyperlink"/>
            <w:b/>
            <w:bCs/>
            <w:color w:val="auto"/>
          </w:rPr>
          <w:t>Franchise Tax Changes</w:t>
        </w:r>
      </w:hyperlink>
    </w:p>
    <w:p w14:paraId="7D49C88A" w14:textId="77777777" w:rsidR="00F34E8F" w:rsidRPr="003A73C7" w:rsidRDefault="00636F9E" w:rsidP="00F34E8F">
      <w:pPr>
        <w:numPr>
          <w:ilvl w:val="0"/>
          <w:numId w:val="1"/>
        </w:numPr>
      </w:pPr>
      <w:hyperlink w:anchor="A4" w:history="1">
        <w:r w:rsidR="00F34E8F" w:rsidRPr="003A73C7">
          <w:rPr>
            <w:rStyle w:val="Hyperlink"/>
            <w:b/>
            <w:bCs/>
            <w:color w:val="auto"/>
          </w:rPr>
          <w:t>Corporate Income Tax Changes</w:t>
        </w:r>
      </w:hyperlink>
    </w:p>
    <w:p w14:paraId="129F41F5" w14:textId="77777777" w:rsidR="00F34E8F" w:rsidRPr="003A73C7" w:rsidRDefault="00636F9E" w:rsidP="00F34E8F">
      <w:pPr>
        <w:numPr>
          <w:ilvl w:val="0"/>
          <w:numId w:val="1"/>
        </w:numPr>
        <w:rPr>
          <w:rStyle w:val="Hyperlink"/>
          <w:color w:val="auto"/>
          <w:u w:val="none"/>
        </w:rPr>
      </w:pPr>
      <w:hyperlink w:anchor="A5" w:history="1">
        <w:r w:rsidR="00F34E8F" w:rsidRPr="003A73C7">
          <w:rPr>
            <w:rStyle w:val="Hyperlink"/>
            <w:b/>
            <w:bCs/>
            <w:color w:val="auto"/>
          </w:rPr>
          <w:t>Sales Tax Changes</w:t>
        </w:r>
      </w:hyperlink>
    </w:p>
    <w:p w14:paraId="02B2162B" w14:textId="77777777" w:rsidR="008D199E" w:rsidRPr="003A73C7" w:rsidRDefault="008D199E" w:rsidP="00F34E8F">
      <w:pPr>
        <w:numPr>
          <w:ilvl w:val="0"/>
          <w:numId w:val="1"/>
        </w:numPr>
        <w:rPr>
          <w:rStyle w:val="Hyperlink"/>
          <w:color w:val="auto"/>
          <w:u w:val="none"/>
        </w:rPr>
      </w:pPr>
      <w:r w:rsidRPr="003A73C7">
        <w:rPr>
          <w:rStyle w:val="Hyperlink"/>
          <w:b/>
          <w:bCs/>
          <w:color w:val="auto"/>
        </w:rPr>
        <w:t>Incentives</w:t>
      </w:r>
    </w:p>
    <w:p w14:paraId="05093203" w14:textId="77777777" w:rsidR="002D174B" w:rsidRPr="003A73C7" w:rsidRDefault="002D174B" w:rsidP="00F34E8F">
      <w:pPr>
        <w:numPr>
          <w:ilvl w:val="0"/>
          <w:numId w:val="1"/>
        </w:numPr>
        <w:rPr>
          <w:rStyle w:val="Hyperlink"/>
          <w:color w:val="auto"/>
          <w:u w:val="none"/>
        </w:rPr>
      </w:pPr>
      <w:r w:rsidRPr="003A73C7">
        <w:rPr>
          <w:rStyle w:val="Hyperlink"/>
          <w:b/>
          <w:bCs/>
          <w:color w:val="auto"/>
        </w:rPr>
        <w:t xml:space="preserve">Insurance </w:t>
      </w:r>
      <w:r w:rsidR="00E9428C" w:rsidRPr="003A73C7">
        <w:rPr>
          <w:rStyle w:val="Hyperlink"/>
          <w:b/>
          <w:bCs/>
          <w:color w:val="auto"/>
        </w:rPr>
        <w:t>Tax Changes</w:t>
      </w:r>
    </w:p>
    <w:p w14:paraId="4CD04E05" w14:textId="77777777" w:rsidR="00E9428C" w:rsidRPr="003A73C7" w:rsidRDefault="00E9428C" w:rsidP="00F34E8F">
      <w:pPr>
        <w:numPr>
          <w:ilvl w:val="0"/>
          <w:numId w:val="1"/>
        </w:numPr>
        <w:rPr>
          <w:rStyle w:val="Hyperlink"/>
          <w:color w:val="auto"/>
          <w:u w:val="none"/>
        </w:rPr>
      </w:pPr>
      <w:r w:rsidRPr="003A73C7">
        <w:rPr>
          <w:rStyle w:val="Hyperlink"/>
          <w:b/>
          <w:bCs/>
          <w:color w:val="auto"/>
        </w:rPr>
        <w:t>Property Tax Changes</w:t>
      </w:r>
    </w:p>
    <w:p w14:paraId="6E4DF7BC" w14:textId="77777777" w:rsidR="00665267" w:rsidRPr="003A73C7" w:rsidRDefault="00665267" w:rsidP="00F34E8F">
      <w:pPr>
        <w:numPr>
          <w:ilvl w:val="0"/>
          <w:numId w:val="1"/>
        </w:numPr>
      </w:pPr>
      <w:r w:rsidRPr="003A73C7">
        <w:rPr>
          <w:rStyle w:val="Hyperlink"/>
          <w:b/>
          <w:bCs/>
          <w:color w:val="auto"/>
        </w:rPr>
        <w:t>Motor Fuels Tax Changes</w:t>
      </w:r>
    </w:p>
    <w:p w14:paraId="4025E7B9" w14:textId="77777777" w:rsidR="00F34E8F" w:rsidRPr="003A73C7" w:rsidRDefault="00636F9E" w:rsidP="00F34E8F">
      <w:pPr>
        <w:numPr>
          <w:ilvl w:val="0"/>
          <w:numId w:val="1"/>
        </w:numPr>
        <w:rPr>
          <w:rStyle w:val="Hyperlink"/>
          <w:color w:val="auto"/>
          <w:u w:val="none"/>
        </w:rPr>
      </w:pPr>
      <w:hyperlink w:anchor="A6" w:history="1">
        <w:r w:rsidR="00F34E8F" w:rsidRPr="003A73C7">
          <w:rPr>
            <w:rStyle w:val="Hyperlink"/>
            <w:b/>
            <w:bCs/>
            <w:color w:val="auto"/>
          </w:rPr>
          <w:t>Administrative Changes</w:t>
        </w:r>
      </w:hyperlink>
    </w:p>
    <w:p w14:paraId="09378AF0" w14:textId="77777777" w:rsidR="00E9428C" w:rsidRPr="003A73C7" w:rsidRDefault="00E9428C" w:rsidP="00F34E8F">
      <w:pPr>
        <w:numPr>
          <w:ilvl w:val="0"/>
          <w:numId w:val="1"/>
        </w:numPr>
      </w:pPr>
      <w:r w:rsidRPr="003A73C7">
        <w:rPr>
          <w:rStyle w:val="Hyperlink"/>
          <w:b/>
          <w:bCs/>
          <w:color w:val="auto"/>
        </w:rPr>
        <w:t xml:space="preserve">COVID-19 </w:t>
      </w:r>
      <w:r w:rsidR="001707A9" w:rsidRPr="003A73C7">
        <w:rPr>
          <w:rStyle w:val="Hyperlink"/>
          <w:b/>
          <w:bCs/>
          <w:color w:val="auto"/>
        </w:rPr>
        <w:t xml:space="preserve">Tax </w:t>
      </w:r>
      <w:r w:rsidRPr="003A73C7">
        <w:rPr>
          <w:rStyle w:val="Hyperlink"/>
          <w:b/>
          <w:bCs/>
          <w:color w:val="auto"/>
        </w:rPr>
        <w:t xml:space="preserve">Relief </w:t>
      </w:r>
    </w:p>
    <w:p w14:paraId="32D9CDCA" w14:textId="77777777" w:rsidR="00F34E8F" w:rsidRPr="003A73C7" w:rsidRDefault="00636F9E" w:rsidP="00F34E8F">
      <w:pPr>
        <w:numPr>
          <w:ilvl w:val="0"/>
          <w:numId w:val="1"/>
        </w:numPr>
      </w:pPr>
      <w:hyperlink w:anchor="A7" w:history="1">
        <w:r w:rsidR="00F34E8F" w:rsidRPr="003A73C7">
          <w:rPr>
            <w:rStyle w:val="Hyperlink"/>
            <w:b/>
            <w:bCs/>
            <w:color w:val="auto"/>
          </w:rPr>
          <w:t>Other Matters</w:t>
        </w:r>
      </w:hyperlink>
    </w:p>
    <w:p w14:paraId="68B8857D" w14:textId="77777777" w:rsidR="00F34E8F" w:rsidRPr="007B7933" w:rsidRDefault="00F34E8F" w:rsidP="00F34E8F">
      <w:pPr>
        <w:rPr>
          <w:b/>
          <w:bCs/>
          <w:u w:val="single"/>
        </w:rPr>
      </w:pPr>
      <w:r w:rsidRPr="007B7933">
        <w:rPr>
          <w:b/>
          <w:bCs/>
          <w:u w:val="single"/>
        </w:rPr>
        <w:t>Internal Revenue Code Update</w:t>
      </w:r>
    </w:p>
    <w:p w14:paraId="09E5F4B7" w14:textId="77777777" w:rsidR="00F34E8F" w:rsidRPr="00F34E8F" w:rsidRDefault="00F34E8F" w:rsidP="00F34E8F">
      <w:r w:rsidRPr="00F34E8F">
        <w:t>Although federal adjusted gross income and federal taxable income are the starting points for computing North Carolina taxable income for individuals and corporations, respectively, the North Carolina Constitution prohibits automatic conformity to the Internal Revenue Code (the “Code”). As a result, the General Assembly annually updates the reference to the Code in the North Carolina Revenue Act</w:t>
      </w:r>
      <w:r w:rsidR="009D5A32">
        <w:rPr>
          <w:rStyle w:val="FootnoteReference"/>
        </w:rPr>
        <w:footnoteReference w:id="1"/>
      </w:r>
      <w:r w:rsidRPr="00F34E8F">
        <w:t xml:space="preserve"> in order to incorporate some or all of the changes made to the Code during the preceding year. The current Code reference is to the Code in effect on January 1, 2019. </w:t>
      </w:r>
      <w:r w:rsidR="00CC0190">
        <w:t>House Bill 1080</w:t>
      </w:r>
      <w:r w:rsidRPr="00F34E8F">
        <w:t xml:space="preserve"> update</w:t>
      </w:r>
      <w:r w:rsidR="00C241DF">
        <w:t>s</w:t>
      </w:r>
      <w:r w:rsidRPr="00F34E8F">
        <w:t xml:space="preserve"> the reference date to May 1, 2020.</w:t>
      </w:r>
      <w:bookmarkStart w:id="0" w:name="_ftnref2"/>
      <w:r w:rsidR="00E9428C">
        <w:rPr>
          <w:rStyle w:val="FootnoteReference"/>
        </w:rPr>
        <w:footnoteReference w:id="2"/>
      </w:r>
      <w:bookmarkEnd w:id="0"/>
      <w:r w:rsidR="001707A9" w:rsidRPr="00F34E8F">
        <w:t xml:space="preserve"> </w:t>
      </w:r>
    </w:p>
    <w:p w14:paraId="55E9BDF6" w14:textId="77777777" w:rsidR="00F34E8F" w:rsidRPr="00F34E8F" w:rsidRDefault="00F34E8F" w:rsidP="00F34E8F">
      <w:r w:rsidRPr="00F34E8F">
        <w:t>Congress enacted two bills amending the Code between the existing reference date and May 1, 2020: The Taxpayer Certainty and Disaster Relief Act of 2019 (the “TCDRA”), included as Division Q of the Further Consolidated Appropriations Act, 2020,</w:t>
      </w:r>
      <w:bookmarkStart w:id="1" w:name="_ftnref3"/>
      <w:r w:rsidR="00E9428C">
        <w:rPr>
          <w:rStyle w:val="FootnoteReference"/>
        </w:rPr>
        <w:footnoteReference w:id="3"/>
      </w:r>
      <w:bookmarkEnd w:id="1"/>
      <w:r w:rsidRPr="00F34E8F">
        <w:t xml:space="preserve"> and the Coronavirus Aid, Relief and Economic Security Act (the “CARES Act”).</w:t>
      </w:r>
      <w:bookmarkStart w:id="2" w:name="_ftnref4"/>
      <w:r w:rsidR="00E9428C">
        <w:rPr>
          <w:rStyle w:val="FootnoteReference"/>
        </w:rPr>
        <w:footnoteReference w:id="4"/>
      </w:r>
      <w:bookmarkEnd w:id="2"/>
      <w:r w:rsidR="001707A9" w:rsidRPr="00F34E8F">
        <w:t xml:space="preserve"> </w:t>
      </w:r>
    </w:p>
    <w:p w14:paraId="03296A07" w14:textId="77777777" w:rsidR="00F34E8F" w:rsidRPr="00F34E8F" w:rsidRDefault="00C95909" w:rsidP="00F34E8F">
      <w:r>
        <w:t>One of the changes made by the TCDRA was to reduce the threshold for the deduction of unreimbursed medical expenses from 10% to 7.5% of Adjusted Gross Income for 2019 and 2020.</w:t>
      </w:r>
      <w:r w:rsidR="00F34E8F" w:rsidRPr="00F34E8F">
        <w:t xml:space="preserve"> </w:t>
      </w:r>
      <w:r>
        <w:t xml:space="preserve">North Carolina will conform to this change. </w:t>
      </w:r>
      <w:r w:rsidR="00F34E8F" w:rsidRPr="00F34E8F">
        <w:t xml:space="preserve">TCDRA </w:t>
      </w:r>
      <w:r>
        <w:t xml:space="preserve">also </w:t>
      </w:r>
      <w:r w:rsidR="00F34E8F" w:rsidRPr="00F34E8F">
        <w:t>extended a number of expiring federal tax provisions from which North Carolina has historically decoupled: the gross income exclusion for the discharge of qualified principal residence indebtedness, the treatment of mortgage insurance premiums as qualified residence interest and the deduction for qualified tuition and related expenses.</w:t>
      </w:r>
      <w:bookmarkStart w:id="3" w:name="_ftnref5"/>
      <w:r w:rsidR="00E9428C">
        <w:rPr>
          <w:rStyle w:val="FootnoteReference"/>
        </w:rPr>
        <w:footnoteReference w:id="5"/>
      </w:r>
      <w:bookmarkEnd w:id="3"/>
      <w:r w:rsidR="00F34E8F" w:rsidRPr="00F34E8F">
        <w:t xml:space="preserve"> </w:t>
      </w:r>
      <w:r w:rsidR="00CC0190">
        <w:t>House Bill 1080</w:t>
      </w:r>
      <w:r w:rsidR="00F34E8F" w:rsidRPr="00F34E8F">
        <w:t xml:space="preserve"> decouple</w:t>
      </w:r>
      <w:r w:rsidR="00007361">
        <w:t>s</w:t>
      </w:r>
      <w:r w:rsidR="00F34E8F" w:rsidRPr="00F34E8F">
        <w:t xml:space="preserve"> from these extended federal provisions through 2020.</w:t>
      </w:r>
      <w:bookmarkStart w:id="4" w:name="_ftnref6"/>
      <w:r w:rsidR="00E9428C">
        <w:rPr>
          <w:rStyle w:val="FootnoteReference"/>
        </w:rPr>
        <w:footnoteReference w:id="6"/>
      </w:r>
      <w:bookmarkEnd w:id="4"/>
      <w:r w:rsidR="001707A9" w:rsidRPr="00F34E8F">
        <w:t xml:space="preserve"> </w:t>
      </w:r>
    </w:p>
    <w:p w14:paraId="66D531FB" w14:textId="77777777" w:rsidR="00F34E8F" w:rsidRPr="00F34E8F" w:rsidRDefault="00F34E8F" w:rsidP="00F34E8F">
      <w:r w:rsidRPr="00F34E8F">
        <w:t xml:space="preserve">The CARES Act included numerous tax provisions intended to improve the cash position of individuals and businesses in response to the economic shock caused by the COVID-19 pandemic and government lock-down orders. </w:t>
      </w:r>
      <w:r w:rsidR="00302790">
        <w:t>These provisions were summarized in a previous Alert</w:t>
      </w:r>
      <w:r w:rsidRPr="00F34E8F">
        <w:t xml:space="preserve">. </w:t>
      </w:r>
      <w:r w:rsidR="00CC0190">
        <w:t>House Bill 1080 decouples</w:t>
      </w:r>
      <w:r w:rsidRPr="00F34E8F">
        <w:t xml:space="preserve"> from the following CARES Act provisions: </w:t>
      </w:r>
    </w:p>
    <w:p w14:paraId="1BEB672B" w14:textId="77777777" w:rsidR="00F34E8F" w:rsidRPr="00F34E8F" w:rsidRDefault="00F34E8F" w:rsidP="00F34E8F">
      <w:pPr>
        <w:numPr>
          <w:ilvl w:val="0"/>
          <w:numId w:val="2"/>
        </w:numPr>
      </w:pPr>
      <w:r w:rsidRPr="00F34E8F">
        <w:rPr>
          <w:u w:val="single"/>
        </w:rPr>
        <w:t>Net Business Interest</w:t>
      </w:r>
      <w:r w:rsidRPr="00F34E8F">
        <w:t xml:space="preserve">: The CARES Act increased from 30% to 50% the amount of adjusted taxable income that </w:t>
      </w:r>
      <w:r w:rsidR="009D5A32">
        <w:t>may</w:t>
      </w:r>
      <w:r w:rsidRPr="00F34E8F">
        <w:t xml:space="preserve"> be offset by net business interest expense for 2019 and 2020. The bill </w:t>
      </w:r>
      <w:r w:rsidR="00007361">
        <w:t>r</w:t>
      </w:r>
      <w:r w:rsidRPr="00F34E8F">
        <w:t>equire</w:t>
      </w:r>
      <w:r w:rsidR="00007361">
        <w:t>s</w:t>
      </w:r>
      <w:r w:rsidRPr="00F34E8F">
        <w:t xml:space="preserve"> corporate </w:t>
      </w:r>
      <w:r w:rsidR="00007361">
        <w:t xml:space="preserve">and individual </w:t>
      </w:r>
      <w:r w:rsidRPr="00F34E8F">
        <w:t>taxpayers to add back the additional interest expense deduction.</w:t>
      </w:r>
      <w:bookmarkStart w:id="5" w:name="_ftnref7"/>
      <w:r w:rsidR="00E9428C">
        <w:rPr>
          <w:rStyle w:val="FootnoteReference"/>
        </w:rPr>
        <w:footnoteReference w:id="7"/>
      </w:r>
      <w:bookmarkEnd w:id="5"/>
      <w:r w:rsidR="001707A9" w:rsidRPr="00F34E8F">
        <w:t xml:space="preserve"> </w:t>
      </w:r>
    </w:p>
    <w:p w14:paraId="30E1A634" w14:textId="77777777" w:rsidR="00F34E8F" w:rsidRPr="00F34E8F" w:rsidRDefault="00F34E8F" w:rsidP="00F34E8F">
      <w:pPr>
        <w:numPr>
          <w:ilvl w:val="0"/>
          <w:numId w:val="2"/>
        </w:numPr>
      </w:pPr>
      <w:r w:rsidRPr="00F34E8F">
        <w:rPr>
          <w:u w:val="single"/>
        </w:rPr>
        <w:t>Charitable Contribution Percentage Limitations</w:t>
      </w:r>
      <w:r w:rsidRPr="00F34E8F">
        <w:t xml:space="preserve">: North Carolina permits individual taxpayers to claim a charitable contribution deduction equal to the federal deduction allowed under Code section 170. That section imposes percentage limitations on the charitable contribution deduction allowed in any given year, with the excess carried forward to later years. The CARES Act suspended the percentage limitation on charitable </w:t>
      </w:r>
      <w:r w:rsidRPr="00F34E8F">
        <w:lastRenderedPageBreak/>
        <w:t xml:space="preserve">contributions made in 2020. </w:t>
      </w:r>
      <w:r w:rsidR="009D5A32">
        <w:t>House Bill 1080</w:t>
      </w:r>
      <w:r w:rsidRPr="00F34E8F">
        <w:t xml:space="preserve"> </w:t>
      </w:r>
      <w:r w:rsidR="00007361">
        <w:t>l</w:t>
      </w:r>
      <w:r w:rsidRPr="00F34E8F">
        <w:t>imit</w:t>
      </w:r>
      <w:r w:rsidR="00007361">
        <w:t>s</w:t>
      </w:r>
      <w:r w:rsidRPr="00F34E8F">
        <w:t xml:space="preserve"> 2020 individual charitable contribution deductions to the pre-CARES Act federal deduction amount.</w:t>
      </w:r>
      <w:bookmarkStart w:id="6" w:name="_ftnref8"/>
      <w:r w:rsidR="00E9428C">
        <w:rPr>
          <w:rStyle w:val="FootnoteReference"/>
        </w:rPr>
        <w:footnoteReference w:id="8"/>
      </w:r>
      <w:bookmarkEnd w:id="6"/>
    </w:p>
    <w:p w14:paraId="5BB1DA9A" w14:textId="77777777" w:rsidR="00F34E8F" w:rsidRPr="00F34E8F" w:rsidRDefault="00F34E8F" w:rsidP="00F34E8F">
      <w:pPr>
        <w:numPr>
          <w:ilvl w:val="0"/>
          <w:numId w:val="2"/>
        </w:numPr>
      </w:pPr>
      <w:r w:rsidRPr="00F34E8F">
        <w:rPr>
          <w:u w:val="single"/>
        </w:rPr>
        <w:t>Net Operating Losses</w:t>
      </w:r>
      <w:r w:rsidRPr="00F34E8F">
        <w:t xml:space="preserve">: The CARES Act eliminated the prohibition on the carryback of net operating losses (“NOLs”) arising in 2018, 2019 and 2020. The CARES Act also suspended the 80% limitation on the amount of taxable income that </w:t>
      </w:r>
      <w:r w:rsidR="009D5A32">
        <w:t>may</w:t>
      </w:r>
      <w:r w:rsidRPr="00F34E8F">
        <w:t xml:space="preserve"> be offset by NOLs for 2018, 2019 and 2020. </w:t>
      </w:r>
      <w:r w:rsidR="009D5A32">
        <w:t>House Bill 1080</w:t>
      </w:r>
      <w:r w:rsidRPr="00F34E8F">
        <w:t xml:space="preserve"> decouple</w:t>
      </w:r>
      <w:r w:rsidR="007B7933">
        <w:t>s</w:t>
      </w:r>
      <w:r w:rsidRPr="00F34E8F">
        <w:t xml:space="preserve"> from these changes by requiring individual taxpayers to add back the amount of any 2018, 2019 or 2020 </w:t>
      </w:r>
      <w:r w:rsidRPr="00E9428C">
        <w:t xml:space="preserve">NOL (other than farming losses) </w:t>
      </w:r>
      <w:r w:rsidRPr="00F34E8F">
        <w:t>carried back to a prior year.</w:t>
      </w:r>
      <w:bookmarkStart w:id="7" w:name="_ftnref9"/>
      <w:r w:rsidR="00E9428C">
        <w:rPr>
          <w:rStyle w:val="FootnoteReference"/>
        </w:rPr>
        <w:footnoteReference w:id="9"/>
      </w:r>
      <w:bookmarkEnd w:id="7"/>
      <w:r w:rsidRPr="00F34E8F">
        <w:t xml:space="preserve"> The amount added back </w:t>
      </w:r>
      <w:r w:rsidR="007B7933">
        <w:t>may</w:t>
      </w:r>
      <w:r w:rsidRPr="00F34E8F">
        <w:t xml:space="preserve"> be deducted in five equal installments beginning in 2021.</w:t>
      </w:r>
      <w:bookmarkStart w:id="8" w:name="_ftnref10"/>
      <w:r w:rsidR="00E9428C">
        <w:rPr>
          <w:rStyle w:val="FootnoteReference"/>
        </w:rPr>
        <w:footnoteReference w:id="10"/>
      </w:r>
      <w:bookmarkEnd w:id="8"/>
      <w:r w:rsidRPr="00F34E8F">
        <w:t xml:space="preserve"> In addition, individual taxpayers </w:t>
      </w:r>
      <w:r w:rsidR="007B7933">
        <w:t xml:space="preserve">must </w:t>
      </w:r>
      <w:r w:rsidRPr="00F34E8F">
        <w:t>add back the amount of any carryforward deductions for NOLs (other than farming losses) arising in 2018, 2019 or 2020 in excess of the pre-CARES Act 80% limitation.</w:t>
      </w:r>
      <w:bookmarkStart w:id="9" w:name="_ftnref11"/>
      <w:r w:rsidR="00E9428C">
        <w:rPr>
          <w:rStyle w:val="FootnoteReference"/>
        </w:rPr>
        <w:footnoteReference w:id="11"/>
      </w:r>
      <w:bookmarkEnd w:id="9"/>
      <w:r w:rsidRPr="00F34E8F">
        <w:t xml:space="preserve"> The amount added back </w:t>
      </w:r>
      <w:r w:rsidR="007B7933">
        <w:t>may</w:t>
      </w:r>
      <w:r w:rsidRPr="00F34E8F">
        <w:t xml:space="preserve"> be deducted in five equal installments beginning in 2021.</w:t>
      </w:r>
      <w:bookmarkStart w:id="10" w:name="_ftnref12"/>
      <w:r w:rsidR="00E9428C">
        <w:rPr>
          <w:rStyle w:val="FootnoteReference"/>
        </w:rPr>
        <w:footnoteReference w:id="12"/>
      </w:r>
      <w:bookmarkEnd w:id="10"/>
      <w:r w:rsidR="001707A9" w:rsidRPr="00F34E8F">
        <w:t xml:space="preserve"> </w:t>
      </w:r>
    </w:p>
    <w:p w14:paraId="511C2B3F" w14:textId="77777777" w:rsidR="00F34E8F" w:rsidRPr="00F34E8F" w:rsidRDefault="00F34E8F" w:rsidP="00F34E8F">
      <w:pPr>
        <w:numPr>
          <w:ilvl w:val="0"/>
          <w:numId w:val="2"/>
        </w:numPr>
      </w:pPr>
      <w:r w:rsidRPr="00F34E8F">
        <w:rPr>
          <w:u w:val="single"/>
        </w:rPr>
        <w:t>Qualified Education Loans</w:t>
      </w:r>
      <w:r w:rsidRPr="00F34E8F">
        <w:t xml:space="preserve">: The CARES Act expanded the gross income exclusion for employer-provided education assistance to cover interest and principal on qualified education loans paid by an employer in 2020. </w:t>
      </w:r>
      <w:r w:rsidR="009D5A32">
        <w:t>House Bill 1080</w:t>
      </w:r>
      <w:r w:rsidRPr="00F34E8F">
        <w:t xml:space="preserve"> require</w:t>
      </w:r>
      <w:r w:rsidR="007B7933">
        <w:t>s</w:t>
      </w:r>
      <w:r w:rsidRPr="00F34E8F">
        <w:t xml:space="preserve"> such qualified education loan payments to be added back to North Carolina income to the extent excluded for federal purposes.</w:t>
      </w:r>
      <w:bookmarkStart w:id="11" w:name="_ftnref13"/>
      <w:r w:rsidR="00E9428C">
        <w:rPr>
          <w:rStyle w:val="FootnoteReference"/>
        </w:rPr>
        <w:footnoteReference w:id="13"/>
      </w:r>
      <w:bookmarkEnd w:id="11"/>
      <w:r w:rsidR="001707A9" w:rsidRPr="00F34E8F">
        <w:t xml:space="preserve"> </w:t>
      </w:r>
    </w:p>
    <w:p w14:paraId="40B3FFE8" w14:textId="77777777" w:rsidR="00F34E8F" w:rsidRPr="00F34E8F" w:rsidRDefault="00F34E8F" w:rsidP="00F34E8F">
      <w:pPr>
        <w:numPr>
          <w:ilvl w:val="0"/>
          <w:numId w:val="2"/>
        </w:numPr>
      </w:pPr>
      <w:r w:rsidRPr="00F34E8F">
        <w:rPr>
          <w:u w:val="single"/>
        </w:rPr>
        <w:t>Excess Business Losses</w:t>
      </w:r>
      <w:r w:rsidRPr="00F34E8F">
        <w:t xml:space="preserve">: The </w:t>
      </w:r>
      <w:r w:rsidR="009D5A32">
        <w:t xml:space="preserve">2017 </w:t>
      </w:r>
      <w:r w:rsidRPr="00F34E8F">
        <w:t xml:space="preserve">Tax Cuts and Jobs Act imposed a limit on the deduction of excess business losses by noncorporate taxpayers. The CARES Act retroactively delayed the application of this limitation until 2021. </w:t>
      </w:r>
      <w:r w:rsidR="009D5A32">
        <w:t>House Bill 1080</w:t>
      </w:r>
      <w:r w:rsidRPr="00F34E8F">
        <w:t xml:space="preserve"> decouple</w:t>
      </w:r>
      <w:r w:rsidR="007B7933">
        <w:t>s</w:t>
      </w:r>
      <w:r w:rsidRPr="00F34E8F">
        <w:t xml:space="preserve"> from this provision by requiring individual taxpayers to add back any business losses deducted for federal purposes in 2018, 2019 and 2020 in excess of the amounts that would have been deductible under the pre-CARES Act limits.</w:t>
      </w:r>
      <w:bookmarkStart w:id="12" w:name="_ftnref14"/>
      <w:r w:rsidR="00E9428C">
        <w:rPr>
          <w:rStyle w:val="FootnoteReference"/>
        </w:rPr>
        <w:footnoteReference w:id="14"/>
      </w:r>
      <w:bookmarkEnd w:id="12"/>
      <w:r w:rsidRPr="00F34E8F">
        <w:t xml:space="preserve"> The amount added back </w:t>
      </w:r>
      <w:r w:rsidR="007B7933">
        <w:t>may</w:t>
      </w:r>
      <w:r w:rsidRPr="00F34E8F">
        <w:t xml:space="preserve"> be deducted in five equal installments beginning in 2021.</w:t>
      </w:r>
      <w:bookmarkStart w:id="13" w:name="_ftnref15"/>
      <w:r w:rsidR="00E9428C">
        <w:rPr>
          <w:rStyle w:val="FootnoteReference"/>
        </w:rPr>
        <w:footnoteReference w:id="15"/>
      </w:r>
      <w:bookmarkEnd w:id="13"/>
      <w:r w:rsidR="001707A9" w:rsidRPr="00F34E8F">
        <w:t xml:space="preserve"> </w:t>
      </w:r>
    </w:p>
    <w:p w14:paraId="546D2FF6" w14:textId="77777777" w:rsidR="00F34E8F" w:rsidRPr="00F34E8F" w:rsidRDefault="00F34E8F" w:rsidP="00F34E8F">
      <w:pPr>
        <w:numPr>
          <w:ilvl w:val="0"/>
          <w:numId w:val="2"/>
        </w:numPr>
      </w:pPr>
      <w:r w:rsidRPr="00F34E8F">
        <w:rPr>
          <w:u w:val="single"/>
        </w:rPr>
        <w:t>Charitable Contribution for Non-itemizers</w:t>
      </w:r>
      <w:r w:rsidRPr="00F34E8F">
        <w:t xml:space="preserve">: The CARES Act allowed individual taxpayers a $300 above-the-line deduction for cash charitable contributions made in 2020. </w:t>
      </w:r>
      <w:r w:rsidR="009D5A32">
        <w:t>House Bill 1080</w:t>
      </w:r>
      <w:r w:rsidRPr="00F34E8F">
        <w:t xml:space="preserve"> require</w:t>
      </w:r>
      <w:r w:rsidR="007B7933">
        <w:t>s</w:t>
      </w:r>
      <w:r w:rsidRPr="00F34E8F">
        <w:t xml:space="preserve"> individual taxpayers to add this deduction back in computing North Carolina income.</w:t>
      </w:r>
      <w:bookmarkStart w:id="14" w:name="_ftnref16"/>
      <w:r w:rsidR="00E9428C">
        <w:rPr>
          <w:rStyle w:val="FootnoteReference"/>
        </w:rPr>
        <w:footnoteReference w:id="16"/>
      </w:r>
      <w:bookmarkEnd w:id="14"/>
      <w:r w:rsidR="001707A9" w:rsidRPr="00F34E8F">
        <w:t xml:space="preserve"> </w:t>
      </w:r>
    </w:p>
    <w:p w14:paraId="7BD5D18C" w14:textId="77777777" w:rsidR="00F34E8F" w:rsidRPr="00F34E8F" w:rsidRDefault="00F34E8F" w:rsidP="00F34E8F">
      <w:pPr>
        <w:numPr>
          <w:ilvl w:val="0"/>
          <w:numId w:val="2"/>
        </w:numPr>
      </w:pPr>
      <w:r w:rsidRPr="00F34E8F">
        <w:rPr>
          <w:u w:val="single"/>
        </w:rPr>
        <w:t>Paycheck Protection Program Loans</w:t>
      </w:r>
      <w:r w:rsidRPr="00F34E8F">
        <w:t xml:space="preserve">: The CARES Act expanded the Small Business Act to create a small business interruption loan program (the Paycheck Protection Program or “PPP”). PPP loans are intended to help taxpayers make payroll, rent and utility payments during the COVID-19 pandemic. If the loan proceeds are used for these purposes, the CARES Act provides that the loans will be forgiven and the amount forgiven excluded </w:t>
      </w:r>
      <w:r w:rsidRPr="00F34E8F">
        <w:lastRenderedPageBreak/>
        <w:t>from gross income. The Internal Revenue Service announced in Notice 2020-32 that expenses funded by a forgiven PPP loan may not be deducted. Congress may override the IRS’s position and permit such expenses to be deducted.</w:t>
      </w:r>
      <w:bookmarkStart w:id="15" w:name="_ftnref17"/>
      <w:r w:rsidR="00E9428C">
        <w:rPr>
          <w:rStyle w:val="FootnoteReference"/>
        </w:rPr>
        <w:footnoteReference w:id="17"/>
      </w:r>
      <w:bookmarkEnd w:id="15"/>
      <w:r w:rsidRPr="00F34E8F">
        <w:t xml:space="preserve"> </w:t>
      </w:r>
      <w:r w:rsidR="009D5A32">
        <w:t>House Bill 1080</w:t>
      </w:r>
      <w:r w:rsidRPr="00F34E8F">
        <w:t xml:space="preserve"> require</w:t>
      </w:r>
      <w:r w:rsidR="007B7933">
        <w:t>s</w:t>
      </w:r>
      <w:r w:rsidRPr="00F34E8F">
        <w:t xml:space="preserve"> both individual and corporate taxpayers to add back the amount of any expenses deducted for federal purposes to the extent funded by a forgiven PPP loan.</w:t>
      </w:r>
      <w:bookmarkStart w:id="16" w:name="_ftnref18"/>
      <w:r w:rsidR="00E9428C">
        <w:rPr>
          <w:rStyle w:val="FootnoteReference"/>
        </w:rPr>
        <w:footnoteReference w:id="18"/>
      </w:r>
      <w:bookmarkEnd w:id="16"/>
      <w:r w:rsidR="001707A9" w:rsidRPr="00F34E8F">
        <w:t xml:space="preserve"> </w:t>
      </w:r>
    </w:p>
    <w:p w14:paraId="54D4D840" w14:textId="77777777" w:rsidR="00F34E8F" w:rsidRPr="007B7933" w:rsidRDefault="00F34E8F" w:rsidP="00F34E8F">
      <w:pPr>
        <w:rPr>
          <w:b/>
          <w:bCs/>
          <w:u w:val="single"/>
        </w:rPr>
      </w:pPr>
      <w:r w:rsidRPr="007B7933">
        <w:rPr>
          <w:b/>
          <w:bCs/>
          <w:u w:val="single"/>
        </w:rPr>
        <w:t>Personal Income Tax Changes</w:t>
      </w:r>
    </w:p>
    <w:p w14:paraId="0478FAC7" w14:textId="77777777" w:rsidR="00F34E8F" w:rsidRPr="003A73C7" w:rsidRDefault="00F34E8F" w:rsidP="00F34E8F">
      <w:pPr>
        <w:rPr>
          <w:i/>
        </w:rPr>
      </w:pPr>
      <w:r w:rsidRPr="003A73C7">
        <w:rPr>
          <w:bCs/>
          <w:i/>
        </w:rPr>
        <w:t xml:space="preserve">Breast </w:t>
      </w:r>
      <w:r w:rsidR="009D5A32">
        <w:rPr>
          <w:bCs/>
          <w:i/>
        </w:rPr>
        <w:t xml:space="preserve">and Cervical </w:t>
      </w:r>
      <w:r w:rsidRPr="003A73C7">
        <w:rPr>
          <w:bCs/>
          <w:i/>
        </w:rPr>
        <w:t>Cancer Research Donation</w:t>
      </w:r>
    </w:p>
    <w:p w14:paraId="30394A82" w14:textId="77777777" w:rsidR="00F34E8F" w:rsidRPr="00F34E8F" w:rsidRDefault="00F34E8F" w:rsidP="00F34E8F">
      <w:r w:rsidRPr="00F34E8F">
        <w:t xml:space="preserve">In 2017, the General Assembly enacted a temporary provision permitting individuals entitled to a refund of personal income taxes to elect to contribute all or part of the refund to the state Department of Health and Human Services to support early detection of breast and cervical cancer. This provision is set to expire at the end of this year. </w:t>
      </w:r>
      <w:r w:rsidR="00CC0190">
        <w:t>House Bill 1080</w:t>
      </w:r>
      <w:r w:rsidRPr="00F34E8F">
        <w:t xml:space="preserve"> extend</w:t>
      </w:r>
      <w:r w:rsidR="007B7933">
        <w:t>s</w:t>
      </w:r>
      <w:r w:rsidRPr="00F34E8F">
        <w:t xml:space="preserve"> the provision through 2025.</w:t>
      </w:r>
      <w:bookmarkStart w:id="17" w:name="_ftnref19"/>
      <w:r w:rsidR="00E9428C">
        <w:rPr>
          <w:rStyle w:val="FootnoteReference"/>
        </w:rPr>
        <w:footnoteReference w:id="19"/>
      </w:r>
      <w:bookmarkEnd w:id="17"/>
      <w:r w:rsidR="001707A9" w:rsidRPr="00F34E8F">
        <w:t xml:space="preserve"> </w:t>
      </w:r>
    </w:p>
    <w:p w14:paraId="20EC2922" w14:textId="77777777" w:rsidR="00F34E8F" w:rsidRPr="003A73C7" w:rsidRDefault="00F34E8F" w:rsidP="00F34E8F">
      <w:pPr>
        <w:rPr>
          <w:i/>
        </w:rPr>
      </w:pPr>
      <w:r w:rsidRPr="003A73C7">
        <w:rPr>
          <w:bCs/>
          <w:i/>
        </w:rPr>
        <w:t>Nonresident Pass-Through Business Owners</w:t>
      </w:r>
    </w:p>
    <w:p w14:paraId="1EF2B0E8" w14:textId="77777777" w:rsidR="00F34E8F" w:rsidRPr="00F34E8F" w:rsidRDefault="00F34E8F" w:rsidP="00F34E8F">
      <w:r w:rsidRPr="00F34E8F">
        <w:t xml:space="preserve">Under current law, the manager of a pass-through business with one or more nonresident owners or partners must file a composite return reporting the nonresident’s share of the business’s income attributable to North Carolina and pay the nonresident’s North Carolina income tax on such income. However, the business does not have to pay the nonresident’s North Carolina tax if the nonresident owner or partner is not an individual and the business provides an affirmation signed by the nonresident that it will pay the tax due with its own return. </w:t>
      </w:r>
      <w:r w:rsidR="00CC0190">
        <w:t>House Bill 1080</w:t>
      </w:r>
      <w:r w:rsidRPr="00F34E8F">
        <w:t xml:space="preserve"> clarif</w:t>
      </w:r>
      <w:r w:rsidR="007B7933">
        <w:t>ies</w:t>
      </w:r>
      <w:r w:rsidRPr="00F34E8F">
        <w:t xml:space="preserve">, in accordance with </w:t>
      </w:r>
      <w:r w:rsidR="00F87ECF">
        <w:t xml:space="preserve">the </w:t>
      </w:r>
      <w:r w:rsidRPr="00F34E8F">
        <w:t xml:space="preserve">existing </w:t>
      </w:r>
      <w:r w:rsidR="00F87ECF">
        <w:t xml:space="preserve">practice of the </w:t>
      </w:r>
      <w:r w:rsidRPr="00F34E8F">
        <w:t>Department</w:t>
      </w:r>
      <w:r w:rsidR="00F87ECF">
        <w:t xml:space="preserve"> of Revenue (the “Department”)</w:t>
      </w:r>
      <w:r w:rsidRPr="00F34E8F">
        <w:t>, that the affirmation must be provided annually by the due date of the business’s information return.</w:t>
      </w:r>
      <w:bookmarkStart w:id="18" w:name="_ftnref20"/>
      <w:r w:rsidR="00E9428C">
        <w:rPr>
          <w:rStyle w:val="FootnoteReference"/>
        </w:rPr>
        <w:footnoteReference w:id="20"/>
      </w:r>
      <w:bookmarkEnd w:id="18"/>
      <w:r w:rsidRPr="00F34E8F">
        <w:t xml:space="preserve"> This provision </w:t>
      </w:r>
      <w:r w:rsidR="007B7933">
        <w:t>is</w:t>
      </w:r>
      <w:r w:rsidRPr="00F34E8F">
        <w:t xml:space="preserve"> effective upon enactment.</w:t>
      </w:r>
      <w:bookmarkStart w:id="19" w:name="_ftnref21"/>
      <w:r w:rsidR="00E9428C">
        <w:rPr>
          <w:rStyle w:val="FootnoteReference"/>
        </w:rPr>
        <w:footnoteReference w:id="21"/>
      </w:r>
      <w:bookmarkEnd w:id="19"/>
      <w:r w:rsidR="001707A9" w:rsidRPr="00F34E8F">
        <w:t xml:space="preserve"> </w:t>
      </w:r>
    </w:p>
    <w:p w14:paraId="5F79668E" w14:textId="77777777" w:rsidR="00F34E8F" w:rsidRPr="007B7933" w:rsidRDefault="00F34E8F" w:rsidP="00F34E8F">
      <w:pPr>
        <w:rPr>
          <w:b/>
          <w:bCs/>
          <w:u w:val="single"/>
        </w:rPr>
      </w:pPr>
      <w:r w:rsidRPr="007B7933">
        <w:rPr>
          <w:b/>
          <w:bCs/>
          <w:u w:val="single"/>
        </w:rPr>
        <w:t>Franchise Tax Changes</w:t>
      </w:r>
    </w:p>
    <w:p w14:paraId="4F605138" w14:textId="77777777" w:rsidR="00F34E8F" w:rsidRPr="003A73C7" w:rsidRDefault="00F34E8F" w:rsidP="00F34E8F">
      <w:pPr>
        <w:rPr>
          <w:i/>
        </w:rPr>
      </w:pPr>
      <w:r w:rsidRPr="003A73C7">
        <w:rPr>
          <w:bCs/>
          <w:i/>
        </w:rPr>
        <w:t>Add-Back for Affiliated Indebtedness</w:t>
      </w:r>
    </w:p>
    <w:p w14:paraId="3D189FF2" w14:textId="77777777" w:rsidR="00F34E8F" w:rsidRPr="00F34E8F" w:rsidRDefault="00F34E8F" w:rsidP="00F34E8F">
      <w:r w:rsidRPr="00F34E8F">
        <w:t xml:space="preserve">Under current law, the net worth franchise tax base is subject to an adjustment for affiliated indebtedness. Specifically, </w:t>
      </w:r>
      <w:r w:rsidR="00AD71A2">
        <w:t>a</w:t>
      </w:r>
      <w:r w:rsidRPr="00F34E8F">
        <w:t xml:space="preserve"> corporation must add back to its net worth base any indebtedness owed to a “parent, subsidiary, an affiliate or a noncorporate entity in which the corporation or any affiliated group of corporations owns more than 50% of the capital interests,” except to the extent that the affiliated indebtedness is attributable to capital borrowed by the creditor from unrelated parties.</w:t>
      </w:r>
      <w:bookmarkStart w:id="20" w:name="_ftnref22"/>
      <w:r w:rsidR="00E9428C">
        <w:rPr>
          <w:rStyle w:val="FootnoteReference"/>
        </w:rPr>
        <w:footnoteReference w:id="22"/>
      </w:r>
      <w:bookmarkEnd w:id="20"/>
      <w:r w:rsidRPr="00F34E8F">
        <w:t xml:space="preserve"> </w:t>
      </w:r>
      <w:r w:rsidR="00AD71A2">
        <w:t xml:space="preserve">For income tax purposes, current law provides that </w:t>
      </w:r>
      <w:r w:rsidRPr="00F34E8F">
        <w:t>a corporation may deduct interest expense paid to a “related member” only to the extent it constitutes “qualified interest expense,” i.e., only to the extent it is proportional to the amount of interest paid by the related member to an unrelated lender.</w:t>
      </w:r>
      <w:bookmarkStart w:id="21" w:name="_ftnref23"/>
      <w:r w:rsidR="00E9428C">
        <w:rPr>
          <w:rStyle w:val="FootnoteReference"/>
        </w:rPr>
        <w:footnoteReference w:id="23"/>
      </w:r>
      <w:bookmarkEnd w:id="21"/>
      <w:r w:rsidR="001707A9" w:rsidRPr="00F34E8F">
        <w:t xml:space="preserve"> </w:t>
      </w:r>
    </w:p>
    <w:p w14:paraId="74BCCF24" w14:textId="77777777" w:rsidR="00F34E8F" w:rsidRPr="00F34E8F" w:rsidRDefault="00CC0190" w:rsidP="00F34E8F">
      <w:r>
        <w:lastRenderedPageBreak/>
        <w:t>House Bill 1080</w:t>
      </w:r>
      <w:r w:rsidR="00F34E8F" w:rsidRPr="00F34E8F">
        <w:t xml:space="preserve"> amend</w:t>
      </w:r>
      <w:r w:rsidR="007B7933">
        <w:t>s</w:t>
      </w:r>
      <w:r w:rsidR="00F34E8F" w:rsidRPr="00F34E8F">
        <w:t xml:space="preserve"> the franchise tax adjustment to </w:t>
      </w:r>
      <w:r w:rsidR="00AD71A2">
        <w:t xml:space="preserve">make it </w:t>
      </w:r>
      <w:r w:rsidR="00F34E8F" w:rsidRPr="00F34E8F">
        <w:t xml:space="preserve">consistent with the income tax adjustment. That is, the franchise tax net worth base add-back </w:t>
      </w:r>
      <w:r w:rsidR="007B7933">
        <w:t>will</w:t>
      </w:r>
      <w:r w:rsidR="00F34E8F" w:rsidRPr="00F34E8F">
        <w:t xml:space="preserve"> be equal to the amount of indebtedness that creates interest expense that is required to be added back for income tax purposes.</w:t>
      </w:r>
      <w:bookmarkStart w:id="22" w:name="_ftnref24"/>
      <w:r w:rsidR="00E9428C">
        <w:rPr>
          <w:rStyle w:val="FootnoteReference"/>
        </w:rPr>
        <w:footnoteReference w:id="24"/>
      </w:r>
      <w:bookmarkEnd w:id="22"/>
      <w:r w:rsidR="00F34E8F" w:rsidRPr="00F34E8F">
        <w:t xml:space="preserve"> This change </w:t>
      </w:r>
      <w:r w:rsidR="007B7933">
        <w:t>is</w:t>
      </w:r>
      <w:r w:rsidR="00F34E8F" w:rsidRPr="00F34E8F">
        <w:t xml:space="preserve"> effective with the 2021 franchise tax year reported on 2020 income tax returns.</w:t>
      </w:r>
      <w:bookmarkStart w:id="23" w:name="_ftnref25"/>
      <w:r w:rsidR="00E9428C">
        <w:rPr>
          <w:rStyle w:val="FootnoteReference"/>
        </w:rPr>
        <w:footnoteReference w:id="25"/>
      </w:r>
      <w:bookmarkEnd w:id="23"/>
      <w:r w:rsidR="00F34E8F" w:rsidRPr="00F34E8F">
        <w:t xml:space="preserve"> Th</w:t>
      </w:r>
      <w:r>
        <w:t>is</w:t>
      </w:r>
      <w:r w:rsidR="00F34E8F" w:rsidRPr="00F34E8F">
        <w:t xml:space="preserve"> change arguably could require a larger or smaller adjustment to net worth than current law to the extent the income tax definition of “related member” differs from the existing franchise tax concept of parent, subsidiary, affiliate or controlled noncorporate entity.</w:t>
      </w:r>
    </w:p>
    <w:p w14:paraId="0A639C2E" w14:textId="77777777" w:rsidR="00F34E8F" w:rsidRPr="007B7933" w:rsidRDefault="00F34E8F" w:rsidP="00F34E8F">
      <w:pPr>
        <w:rPr>
          <w:b/>
          <w:bCs/>
          <w:u w:val="single"/>
        </w:rPr>
      </w:pPr>
      <w:r w:rsidRPr="007B7933">
        <w:rPr>
          <w:b/>
          <w:bCs/>
          <w:u w:val="single"/>
        </w:rPr>
        <w:t>Corporate Income Tax Changes</w:t>
      </w:r>
    </w:p>
    <w:p w14:paraId="2A6B4D2E" w14:textId="77777777" w:rsidR="00F34E8F" w:rsidRPr="003A73C7" w:rsidRDefault="00F34E8F" w:rsidP="00F34E8F">
      <w:pPr>
        <w:rPr>
          <w:i/>
        </w:rPr>
      </w:pPr>
      <w:r w:rsidRPr="003A73C7">
        <w:rPr>
          <w:bCs/>
          <w:i/>
        </w:rPr>
        <w:t>Transactions Among Affiliates</w:t>
      </w:r>
    </w:p>
    <w:p w14:paraId="717CA796" w14:textId="77777777" w:rsidR="00F34E8F" w:rsidRPr="00F34E8F" w:rsidRDefault="00F34E8F" w:rsidP="00F34E8F">
      <w:r w:rsidRPr="00F34E8F">
        <w:t>Intercompany transactions were the source of much litigation a number of years ago. As a result, the General Assembly enacted section 105-130.5A to clarify the Secretary’s powers to make adjustments to intercompany transactions and to require the filing of a combined return.</w:t>
      </w:r>
    </w:p>
    <w:p w14:paraId="56362971" w14:textId="77777777" w:rsidR="00F34E8F" w:rsidRPr="00F34E8F" w:rsidRDefault="00F34E8F" w:rsidP="00F34E8F">
      <w:r w:rsidRPr="00F34E8F">
        <w:t xml:space="preserve">When the Secretary requires adjustments to an intercompany transaction, those adjustments will usually result in increasing the income of one affiliate and reducing the income of the other, producing an assessment against one affiliate and a refund opportunity for the other. </w:t>
      </w:r>
      <w:r w:rsidR="00CC0190">
        <w:t>House Bill 1080</w:t>
      </w:r>
      <w:r w:rsidRPr="00F34E8F">
        <w:t xml:space="preserve"> provide</w:t>
      </w:r>
      <w:r w:rsidR="007B7933">
        <w:t>s</w:t>
      </w:r>
      <w:r w:rsidRPr="00F34E8F">
        <w:t xml:space="preserve"> that in such a case the refund may not be made until the corresponding assessment has become collectible</w:t>
      </w:r>
      <w:r w:rsidR="00AD71A2">
        <w:t>,</w:t>
      </w:r>
      <w:r w:rsidRPr="00F34E8F">
        <w:t xml:space="preserve"> and that the amount of the refund, when made, must reflect “any changes made by the Department under this section.” </w:t>
      </w:r>
      <w:bookmarkStart w:id="24" w:name="_ftnref26"/>
      <w:r w:rsidR="00E9428C">
        <w:rPr>
          <w:rStyle w:val="FootnoteReference"/>
        </w:rPr>
        <w:footnoteReference w:id="26"/>
      </w:r>
      <w:bookmarkEnd w:id="24"/>
    </w:p>
    <w:p w14:paraId="76E0A8F1" w14:textId="77777777" w:rsidR="00F34E8F" w:rsidRPr="00F34E8F" w:rsidRDefault="00F34E8F" w:rsidP="00F34E8F">
      <w:r w:rsidRPr="00F34E8F">
        <w:t>The idea behind these changes is to prevent a situation where (i) the Department makes an adjustment to an intercompany transaction that produces a refund for one party and an assessment for another, (ii) the party entitled to the refund accepts it and the refund is paid, (iii) the party subject to the assessment fights the assessment and then succeeds in getting it reduced through an administrative settlement or proceedings at the Office of Administrative Hearings. In that case, the Department will have paid a refund to one party based on a proposed assessment to the other party that is larger than what is ultimately determined to be due. By this point the statute might have run on the Department’s ability to recover the overpaid refund.</w:t>
      </w:r>
    </w:p>
    <w:p w14:paraId="23BE1E0A" w14:textId="77777777" w:rsidR="00F34E8F" w:rsidRPr="007B7933" w:rsidRDefault="00F34E8F" w:rsidP="00F34E8F">
      <w:pPr>
        <w:rPr>
          <w:b/>
          <w:bCs/>
          <w:u w:val="single"/>
        </w:rPr>
      </w:pPr>
      <w:r w:rsidRPr="007B7933">
        <w:rPr>
          <w:b/>
          <w:bCs/>
          <w:u w:val="single"/>
        </w:rPr>
        <w:t>Sales Tax Changes</w:t>
      </w:r>
    </w:p>
    <w:p w14:paraId="4F931C1B" w14:textId="77777777" w:rsidR="00F34E8F" w:rsidRPr="003A73C7" w:rsidRDefault="00F34E8F" w:rsidP="00F34E8F">
      <w:pPr>
        <w:rPr>
          <w:i/>
        </w:rPr>
      </w:pPr>
      <w:r w:rsidRPr="003A73C7">
        <w:rPr>
          <w:bCs/>
          <w:i/>
        </w:rPr>
        <w:t>Nonprofit and Governmental Entity Refunds for Digital Property Purchases</w:t>
      </w:r>
    </w:p>
    <w:p w14:paraId="59AA13AB" w14:textId="77777777" w:rsidR="00F34E8F" w:rsidRPr="00F34E8F" w:rsidRDefault="00F34E8F" w:rsidP="00F34E8F">
      <w:r w:rsidRPr="00F34E8F">
        <w:t>Under current law, nonprofit and governmental entities may apply for refunds of state and local sales taxes paid on purchases of tangible personal property and services.</w:t>
      </w:r>
      <w:bookmarkStart w:id="25" w:name="_ftnref27"/>
      <w:r w:rsidR="00E9428C">
        <w:rPr>
          <w:rStyle w:val="FootnoteReference"/>
        </w:rPr>
        <w:footnoteReference w:id="27"/>
      </w:r>
      <w:bookmarkEnd w:id="25"/>
      <w:r w:rsidRPr="00F34E8F">
        <w:t xml:space="preserve"> </w:t>
      </w:r>
      <w:r w:rsidR="00CC0190">
        <w:t>House Bill 1080</w:t>
      </w:r>
      <w:r w:rsidRPr="00F34E8F">
        <w:t xml:space="preserve"> expand</w:t>
      </w:r>
      <w:r w:rsidR="007B7933">
        <w:t>s</w:t>
      </w:r>
      <w:r w:rsidRPr="00F34E8F">
        <w:t xml:space="preserve"> this provision to permit these taxpayers also to obtain refunds of state and local taxes paid on certain digital property, applicable to purchases made on or after July 1, 2020.</w:t>
      </w:r>
      <w:bookmarkStart w:id="26" w:name="_ftnref28"/>
      <w:r w:rsidR="00E9428C">
        <w:rPr>
          <w:rStyle w:val="FootnoteReference"/>
        </w:rPr>
        <w:footnoteReference w:id="28"/>
      </w:r>
      <w:bookmarkEnd w:id="26"/>
      <w:r w:rsidR="001707A9" w:rsidRPr="00F34E8F">
        <w:t xml:space="preserve"> </w:t>
      </w:r>
    </w:p>
    <w:p w14:paraId="6CC17B7B" w14:textId="77777777" w:rsidR="00F34E8F" w:rsidRPr="003A73C7" w:rsidRDefault="00F34E8F" w:rsidP="00F34E8F">
      <w:pPr>
        <w:rPr>
          <w:i/>
        </w:rPr>
      </w:pPr>
      <w:r w:rsidRPr="003A73C7">
        <w:rPr>
          <w:bCs/>
          <w:i/>
        </w:rPr>
        <w:t>Sales Subject to Use Tax</w:t>
      </w:r>
    </w:p>
    <w:p w14:paraId="55AB2142" w14:textId="77777777" w:rsidR="00F34E8F" w:rsidRPr="00F34E8F" w:rsidRDefault="00F34E8F" w:rsidP="00F34E8F">
      <w:r w:rsidRPr="00F34E8F">
        <w:t>Current law provides that individual taxpayers must file returns and pay use taxes on items purchased “outside the State.”</w:t>
      </w:r>
      <w:bookmarkStart w:id="27" w:name="_ftnref29"/>
      <w:r w:rsidR="00E9428C">
        <w:rPr>
          <w:rStyle w:val="FootnoteReference"/>
        </w:rPr>
        <w:footnoteReference w:id="29"/>
      </w:r>
      <w:bookmarkEnd w:id="27"/>
      <w:r w:rsidRPr="00F34E8F">
        <w:t xml:space="preserve"> After the Supreme Court’s decision in </w:t>
      </w:r>
      <w:r w:rsidRPr="00F34E8F">
        <w:rPr>
          <w:i/>
          <w:iCs/>
        </w:rPr>
        <w:t xml:space="preserve">South Dakota v. Wayfair, </w:t>
      </w:r>
      <w:r w:rsidRPr="00F34E8F">
        <w:rPr>
          <w:i/>
          <w:iCs/>
        </w:rPr>
        <w:lastRenderedPageBreak/>
        <w:t>Inc.</w:t>
      </w:r>
      <w:bookmarkStart w:id="28" w:name="_ftnref30"/>
      <w:r w:rsidR="00E9428C" w:rsidRPr="00AD71A2">
        <w:rPr>
          <w:rStyle w:val="FootnoteReference"/>
          <w:iCs/>
        </w:rPr>
        <w:footnoteReference w:id="30"/>
      </w:r>
      <w:bookmarkEnd w:id="28"/>
      <w:r w:rsidRPr="00F34E8F">
        <w:t xml:space="preserve">, the tax on many out-of-state purchases will be collected by requiring the seller to collect the use tax, and such transactions will not be required to be reported by the purchaser. Accordingly, </w:t>
      </w:r>
      <w:r w:rsidR="00CC0190">
        <w:t>House Bill 1080</w:t>
      </w:r>
      <w:r w:rsidRPr="00F34E8F">
        <w:t xml:space="preserve"> eliminate</w:t>
      </w:r>
      <w:r w:rsidR="007B7933">
        <w:t>s</w:t>
      </w:r>
      <w:r w:rsidRPr="00F34E8F">
        <w:t xml:space="preserve"> as obsolete the reference to purchases “outside the State.”</w:t>
      </w:r>
      <w:bookmarkStart w:id="29" w:name="_ftnref31"/>
      <w:r w:rsidR="00E9428C">
        <w:rPr>
          <w:rStyle w:val="FootnoteReference"/>
        </w:rPr>
        <w:footnoteReference w:id="31"/>
      </w:r>
      <w:bookmarkEnd w:id="29"/>
      <w:r w:rsidR="001707A9" w:rsidRPr="00F34E8F">
        <w:t xml:space="preserve"> </w:t>
      </w:r>
    </w:p>
    <w:p w14:paraId="2127B952" w14:textId="77777777" w:rsidR="00F34E8F" w:rsidRPr="003A73C7" w:rsidRDefault="00F34E8F" w:rsidP="00F34E8F">
      <w:pPr>
        <w:rPr>
          <w:i/>
        </w:rPr>
      </w:pPr>
      <w:r w:rsidRPr="003A73C7">
        <w:rPr>
          <w:bCs/>
          <w:i/>
        </w:rPr>
        <w:t>Marketplace Facilitators</w:t>
      </w:r>
    </w:p>
    <w:p w14:paraId="0BFD3830" w14:textId="77777777" w:rsidR="00F34E8F" w:rsidRPr="00F34E8F" w:rsidRDefault="00F34E8F" w:rsidP="00F34E8F">
      <w:r w:rsidRPr="00F34E8F">
        <w:t>Last year, the General Assembly passed legislation requiring marketplace facilitators to collect tax on facilitated sales if the facilitator exceeded an economic nexus threshold of $100,000 in in-state sales or 200 transactions directed into the state.</w:t>
      </w:r>
      <w:bookmarkStart w:id="30" w:name="_ftnref32"/>
      <w:r w:rsidR="003F01C0">
        <w:rPr>
          <w:rStyle w:val="FootnoteReference"/>
        </w:rPr>
        <w:footnoteReference w:id="32"/>
      </w:r>
      <w:bookmarkEnd w:id="30"/>
      <w:r w:rsidRPr="00F34E8F">
        <w:t xml:space="preserve"> </w:t>
      </w:r>
      <w:r w:rsidR="00CC0190">
        <w:t>House Bill 1080</w:t>
      </w:r>
      <w:r w:rsidRPr="00F34E8F">
        <w:t xml:space="preserve"> make</w:t>
      </w:r>
      <w:r w:rsidR="007B7933">
        <w:t>s</w:t>
      </w:r>
      <w:r w:rsidRPr="00F34E8F">
        <w:t xml:space="preserve"> two changes with respect to marketplace facilitators.</w:t>
      </w:r>
    </w:p>
    <w:p w14:paraId="0C614229" w14:textId="77777777" w:rsidR="00F34E8F" w:rsidRPr="00F34E8F" w:rsidRDefault="00F34E8F" w:rsidP="00F34E8F">
      <w:pPr>
        <w:numPr>
          <w:ilvl w:val="0"/>
          <w:numId w:val="3"/>
        </w:numPr>
      </w:pPr>
      <w:r w:rsidRPr="00F34E8F">
        <w:rPr>
          <w:u w:val="single"/>
        </w:rPr>
        <w:t>Change to Nexus Standard</w:t>
      </w:r>
      <w:r w:rsidRPr="00F34E8F">
        <w:t xml:space="preserve">: </w:t>
      </w:r>
      <w:r w:rsidR="00AD71A2">
        <w:t>The</w:t>
      </w:r>
      <w:r w:rsidRPr="00F34E8F">
        <w:t xml:space="preserve"> bill replace</w:t>
      </w:r>
      <w:r w:rsidR="007B7933">
        <w:t>s</w:t>
      </w:r>
      <w:r w:rsidRPr="00F34E8F">
        <w:t xml:space="preserve"> the $100,000/200 transaction threshold requirement with a requirement that the facilitator be “engaged in business” in North Carolina.</w:t>
      </w:r>
      <w:bookmarkStart w:id="31" w:name="_ftnref33"/>
      <w:r w:rsidR="003F01C0">
        <w:rPr>
          <w:rStyle w:val="FootnoteReference"/>
        </w:rPr>
        <w:footnoteReference w:id="33"/>
      </w:r>
      <w:bookmarkEnd w:id="31"/>
      <w:r w:rsidRPr="00F34E8F">
        <w:t xml:space="preserve"> The purpose of this change is apparently to ensure that facilitators who have a physical presence in the state collect sales taxes on sales to North Carolina purchasers even if they do not satisfy the economic nexus threshold. The change</w:t>
      </w:r>
      <w:r w:rsidR="00AD71A2">
        <w:t xml:space="preserve"> also has the effect of </w:t>
      </w:r>
      <w:r w:rsidRPr="00F34E8F">
        <w:t>eliminat</w:t>
      </w:r>
      <w:r w:rsidR="00AD71A2">
        <w:t>ing</w:t>
      </w:r>
      <w:r w:rsidRPr="00F34E8F">
        <w:t xml:space="preserve"> any </w:t>
      </w:r>
      <w:r w:rsidR="00AD71A2">
        <w:t xml:space="preserve">statutory </w:t>
      </w:r>
      <w:r w:rsidRPr="00F34E8F">
        <w:t>safe harbor for facilitators who lack a physical presence in the state. This change appl</w:t>
      </w:r>
      <w:r w:rsidR="00C241DF">
        <w:t>ies</w:t>
      </w:r>
      <w:r w:rsidRPr="00F34E8F">
        <w:t xml:space="preserve"> to sales made on or after July 1, 2020.</w:t>
      </w:r>
      <w:bookmarkStart w:id="32" w:name="_ftnref34"/>
      <w:r w:rsidR="003F01C0">
        <w:rPr>
          <w:rStyle w:val="FootnoteReference"/>
        </w:rPr>
        <w:footnoteReference w:id="34"/>
      </w:r>
      <w:bookmarkEnd w:id="32"/>
      <w:r w:rsidR="001707A9" w:rsidRPr="00F34E8F">
        <w:t xml:space="preserve"> </w:t>
      </w:r>
    </w:p>
    <w:p w14:paraId="0A33E5A1" w14:textId="77777777" w:rsidR="00F34E8F" w:rsidRPr="00F34E8F" w:rsidRDefault="00F34E8F" w:rsidP="00F34E8F">
      <w:pPr>
        <w:numPr>
          <w:ilvl w:val="0"/>
          <w:numId w:val="3"/>
        </w:numPr>
      </w:pPr>
      <w:r w:rsidRPr="00F34E8F">
        <w:rPr>
          <w:u w:val="single"/>
        </w:rPr>
        <w:t>Local Meals Tax</w:t>
      </w:r>
      <w:r w:rsidRPr="00F34E8F">
        <w:t xml:space="preserve">: </w:t>
      </w:r>
      <w:r w:rsidR="00AD71A2">
        <w:t>The</w:t>
      </w:r>
      <w:r w:rsidRPr="00F34E8F">
        <w:t xml:space="preserve"> bill require</w:t>
      </w:r>
      <w:r w:rsidR="007B7933">
        <w:t>s</w:t>
      </w:r>
      <w:r w:rsidRPr="00F34E8F">
        <w:t xml:space="preserve"> marketplace facilitators (such as Grub Hub) that are required to collect </w:t>
      </w:r>
      <w:r w:rsidR="00AD71A2">
        <w:t xml:space="preserve">the state </w:t>
      </w:r>
      <w:r w:rsidRPr="00F34E8F">
        <w:t>sales tax on facilitated sales of prepared food and beverages also to collect any applicable local meals tax on such sales.</w:t>
      </w:r>
      <w:bookmarkStart w:id="33" w:name="_ftnref35"/>
      <w:r w:rsidR="003F01C0">
        <w:rPr>
          <w:rStyle w:val="FootnoteReference"/>
        </w:rPr>
        <w:footnoteReference w:id="35"/>
      </w:r>
      <w:bookmarkEnd w:id="33"/>
      <w:r w:rsidRPr="00F34E8F">
        <w:t xml:space="preserve"> This change </w:t>
      </w:r>
      <w:r w:rsidR="007B7933">
        <w:t>is</w:t>
      </w:r>
      <w:r w:rsidRPr="00F34E8F">
        <w:t xml:space="preserve"> effective for sales occurring on or after July 1, 2020.</w:t>
      </w:r>
      <w:bookmarkStart w:id="34" w:name="_ftnref36"/>
      <w:r w:rsidR="003F01C0">
        <w:rPr>
          <w:rStyle w:val="FootnoteReference"/>
        </w:rPr>
        <w:footnoteReference w:id="36"/>
      </w:r>
      <w:bookmarkEnd w:id="34"/>
      <w:r w:rsidRPr="00F34E8F">
        <w:t xml:space="preserve"> Currently, the only localities that have enacted meals taxes are Cumberland, Dare, Mecklenburg and Wake counties and the town of Hillsborough.</w:t>
      </w:r>
    </w:p>
    <w:p w14:paraId="03FD16F3" w14:textId="77777777" w:rsidR="001707A9" w:rsidRPr="003A73C7" w:rsidRDefault="001707A9" w:rsidP="001707A9">
      <w:pPr>
        <w:rPr>
          <w:i/>
        </w:rPr>
      </w:pPr>
      <w:r w:rsidRPr="003A73C7">
        <w:rPr>
          <w:i/>
        </w:rPr>
        <w:t>Livestock Purchases by Qualifying Farmers</w:t>
      </w:r>
    </w:p>
    <w:p w14:paraId="1F662A5E" w14:textId="77777777" w:rsidR="00CC0190" w:rsidRDefault="00CC0190" w:rsidP="00CC0190">
      <w:r>
        <w:t xml:space="preserve">House Bill </w:t>
      </w:r>
      <w:r w:rsidR="001707A9">
        <w:t>1079</w:t>
      </w:r>
      <w:r>
        <w:t>,</w:t>
      </w:r>
      <w:r w:rsidR="001707A9">
        <w:rPr>
          <w:rStyle w:val="FootnoteReference"/>
        </w:rPr>
        <w:footnoteReference w:id="37"/>
      </w:r>
      <w:r w:rsidR="001707A9">
        <w:t xml:space="preserve"> </w:t>
      </w:r>
      <w:r>
        <w:t xml:space="preserve">entitled </w:t>
      </w:r>
      <w:r w:rsidRPr="00AD71A2">
        <w:rPr>
          <w:i/>
        </w:rPr>
        <w:t xml:space="preserve">Various Sales </w:t>
      </w:r>
      <w:r w:rsidR="00AD71A2">
        <w:rPr>
          <w:i/>
        </w:rPr>
        <w:t>T</w:t>
      </w:r>
      <w:r w:rsidRPr="00AD71A2">
        <w:rPr>
          <w:i/>
        </w:rPr>
        <w:t>ax Changes</w:t>
      </w:r>
      <w:r w:rsidR="00AD71A2">
        <w:rPr>
          <w:i/>
        </w:rPr>
        <w:t>,</w:t>
      </w:r>
      <w:r>
        <w:t xml:space="preserve"> included a number of sales tax changes recommended by </w:t>
      </w:r>
      <w:r w:rsidR="001707A9">
        <w:t xml:space="preserve">the Revenue Laws Study Committee. The bill was </w:t>
      </w:r>
      <w:r w:rsidR="00AD71A2">
        <w:t>ratified</w:t>
      </w:r>
      <w:r w:rsidR="001707A9">
        <w:t xml:space="preserve"> by the General Assembly on June 1 and signed by the Governor on June 5</w:t>
      </w:r>
      <w:r w:rsidR="001707A9" w:rsidRPr="00EC27B5">
        <w:rPr>
          <w:vertAlign w:val="superscript"/>
        </w:rPr>
        <w:t>th</w:t>
      </w:r>
      <w:r w:rsidR="001707A9">
        <w:t xml:space="preserve">. </w:t>
      </w:r>
    </w:p>
    <w:p w14:paraId="2D741391" w14:textId="77777777" w:rsidR="001707A9" w:rsidRDefault="00CC0190" w:rsidP="00CC0190">
      <w:pPr>
        <w:rPr>
          <w:rFonts w:eastAsia="Times New Roman"/>
          <w:color w:val="000000"/>
          <w:spacing w:val="-2"/>
        </w:rPr>
      </w:pPr>
      <w:r>
        <w:t>One change made by House Bill 1079 was to broaden a sales tax exemption for qualifying farmers. Under p</w:t>
      </w:r>
      <w:r w:rsidR="001707A9">
        <w:rPr>
          <w:rFonts w:eastAsia="Times New Roman"/>
          <w:color w:val="000000"/>
          <w:spacing w:val="-2"/>
        </w:rPr>
        <w:t>rior law</w:t>
      </w:r>
      <w:r>
        <w:rPr>
          <w:rFonts w:eastAsia="Times New Roman"/>
          <w:color w:val="000000"/>
          <w:spacing w:val="-2"/>
        </w:rPr>
        <w:t xml:space="preserve">, qualifying farmers could purchase </w:t>
      </w:r>
      <w:r w:rsidR="001707A9">
        <w:rPr>
          <w:rFonts w:eastAsia="Times New Roman"/>
          <w:color w:val="000000"/>
          <w:spacing w:val="-2"/>
        </w:rPr>
        <w:t xml:space="preserve">baby chicks and </w:t>
      </w:r>
      <w:proofErr w:type="spellStart"/>
      <w:r w:rsidR="001707A9">
        <w:rPr>
          <w:rFonts w:eastAsia="Times New Roman"/>
          <w:color w:val="000000"/>
          <w:spacing w:val="-2"/>
        </w:rPr>
        <w:t>poults</w:t>
      </w:r>
      <w:proofErr w:type="spellEnd"/>
      <w:r w:rsidR="001707A9">
        <w:rPr>
          <w:rFonts w:eastAsia="Times New Roman"/>
          <w:color w:val="000000"/>
          <w:spacing w:val="-2"/>
        </w:rPr>
        <w:t xml:space="preserve"> </w:t>
      </w:r>
      <w:r>
        <w:rPr>
          <w:rFonts w:eastAsia="Times New Roman"/>
          <w:color w:val="000000"/>
          <w:spacing w:val="-2"/>
        </w:rPr>
        <w:t xml:space="preserve">free of tax under </w:t>
      </w:r>
      <w:r w:rsidR="00150929">
        <w:rPr>
          <w:rFonts w:eastAsia="Times New Roman"/>
          <w:color w:val="000000"/>
          <w:spacing w:val="-2"/>
        </w:rPr>
        <w:t>an exemption certificate</w:t>
      </w:r>
      <w:r>
        <w:rPr>
          <w:rFonts w:eastAsia="Times New Roman"/>
          <w:color w:val="000000"/>
          <w:spacing w:val="-2"/>
        </w:rPr>
        <w:t xml:space="preserve"> </w:t>
      </w:r>
      <w:r w:rsidR="001707A9">
        <w:rPr>
          <w:rFonts w:eastAsia="Times New Roman"/>
          <w:color w:val="000000"/>
          <w:spacing w:val="-2"/>
        </w:rPr>
        <w:t xml:space="preserve">if </w:t>
      </w:r>
      <w:r>
        <w:rPr>
          <w:rFonts w:eastAsia="Times New Roman"/>
          <w:color w:val="000000"/>
          <w:spacing w:val="-2"/>
        </w:rPr>
        <w:t xml:space="preserve">they were </w:t>
      </w:r>
      <w:r w:rsidR="001707A9">
        <w:rPr>
          <w:rFonts w:eastAsia="Times New Roman"/>
          <w:color w:val="000000"/>
          <w:spacing w:val="-2"/>
        </w:rPr>
        <w:t>purchased for commercial poultry or egg production. The bill broadened this exemption to cover purchases of livestock, defined as cattle, sheep, goats, swine, horses and mules.</w:t>
      </w:r>
      <w:r w:rsidR="001707A9">
        <w:rPr>
          <w:rStyle w:val="FootnoteReference"/>
          <w:rFonts w:eastAsia="Times New Roman"/>
          <w:color w:val="000000"/>
          <w:spacing w:val="-2"/>
        </w:rPr>
        <w:footnoteReference w:id="38"/>
      </w:r>
      <w:r w:rsidR="001707A9">
        <w:rPr>
          <w:rFonts w:eastAsia="Times New Roman"/>
          <w:color w:val="000000"/>
          <w:spacing w:val="-2"/>
        </w:rPr>
        <w:t xml:space="preserve"> The bill also eliminated (presumably as redundant) the limitation that </w:t>
      </w:r>
      <w:r w:rsidR="001707A9">
        <w:rPr>
          <w:rFonts w:eastAsia="Times New Roman"/>
          <w:color w:val="000000"/>
          <w:spacing w:val="-2"/>
        </w:rPr>
        <w:lastRenderedPageBreak/>
        <w:t xml:space="preserve">the exemption for baby chicks and </w:t>
      </w:r>
      <w:proofErr w:type="spellStart"/>
      <w:r w:rsidR="001707A9">
        <w:rPr>
          <w:rFonts w:eastAsia="Times New Roman"/>
          <w:color w:val="000000"/>
          <w:spacing w:val="-2"/>
        </w:rPr>
        <w:t>poults</w:t>
      </w:r>
      <w:proofErr w:type="spellEnd"/>
      <w:r w:rsidR="001707A9">
        <w:rPr>
          <w:rFonts w:eastAsia="Times New Roman"/>
          <w:color w:val="000000"/>
          <w:spacing w:val="-2"/>
        </w:rPr>
        <w:t xml:space="preserve"> applied only to purchases for commercial poultry and egg production. These changes are effective for sales occurring on or after July 1, 2020.</w:t>
      </w:r>
      <w:r w:rsidR="001707A9">
        <w:rPr>
          <w:rStyle w:val="FootnoteReference"/>
          <w:rFonts w:eastAsia="Times New Roman"/>
          <w:color w:val="000000"/>
          <w:spacing w:val="-2"/>
        </w:rPr>
        <w:footnoteReference w:id="39"/>
      </w:r>
    </w:p>
    <w:p w14:paraId="591F7D16" w14:textId="77777777" w:rsidR="00150929" w:rsidRDefault="00150929" w:rsidP="001707A9">
      <w:pPr>
        <w:tabs>
          <w:tab w:val="left" w:pos="720"/>
        </w:tabs>
        <w:spacing w:before="137" w:after="0" w:line="276" w:lineRule="exact"/>
        <w:jc w:val="both"/>
        <w:textAlignment w:val="baseline"/>
        <w:rPr>
          <w:rFonts w:eastAsia="Times New Roman"/>
          <w:i/>
          <w:color w:val="000000"/>
          <w:spacing w:val="-2"/>
        </w:rPr>
      </w:pPr>
      <w:r>
        <w:rPr>
          <w:rFonts w:eastAsia="Times New Roman"/>
          <w:i/>
          <w:color w:val="000000"/>
          <w:spacing w:val="-2"/>
        </w:rPr>
        <w:t>Sales by Auctioneers</w:t>
      </w:r>
    </w:p>
    <w:p w14:paraId="280EA5E9" w14:textId="77777777" w:rsidR="00150929" w:rsidRDefault="00150929" w:rsidP="001707A9">
      <w:pPr>
        <w:tabs>
          <w:tab w:val="left" w:pos="720"/>
        </w:tabs>
        <w:spacing w:before="137" w:after="0" w:line="276" w:lineRule="exact"/>
        <w:jc w:val="both"/>
        <w:textAlignment w:val="baseline"/>
        <w:rPr>
          <w:rFonts w:eastAsia="Times New Roman"/>
          <w:color w:val="000000"/>
          <w:spacing w:val="-2"/>
        </w:rPr>
      </w:pPr>
      <w:r>
        <w:rPr>
          <w:rFonts w:eastAsia="Times New Roman"/>
          <w:color w:val="000000"/>
          <w:spacing w:val="-2"/>
        </w:rPr>
        <w:t>House Bill 1079 makes several clarifying changes regarding the liability of auctioneers to collect sales tax</w:t>
      </w:r>
      <w:r w:rsidR="0067219E">
        <w:rPr>
          <w:rFonts w:eastAsia="Times New Roman"/>
          <w:color w:val="000000"/>
          <w:spacing w:val="-2"/>
        </w:rPr>
        <w:t xml:space="preserve">. </w:t>
      </w:r>
      <w:r w:rsidR="0067219E" w:rsidRPr="00150929">
        <w:rPr>
          <w:rFonts w:eastAsia="Times New Roman"/>
          <w:color w:val="000000"/>
          <w:spacing w:val="-2"/>
        </w:rPr>
        <w:t xml:space="preserve">Auctioneers who sell property that they purchased or took on consignment have long been required to register and collect sales tax. However, </w:t>
      </w:r>
      <w:r w:rsidR="0067219E">
        <w:rPr>
          <w:rFonts w:eastAsia="Times New Roman"/>
          <w:color w:val="000000"/>
          <w:spacing w:val="-2"/>
        </w:rPr>
        <w:t xml:space="preserve">in the 1990s </w:t>
      </w:r>
      <w:r w:rsidR="0067219E" w:rsidRPr="00150929">
        <w:rPr>
          <w:rFonts w:eastAsia="Times New Roman"/>
          <w:color w:val="000000"/>
          <w:spacing w:val="-2"/>
        </w:rPr>
        <w:t xml:space="preserve">the Department had </w:t>
      </w:r>
      <w:r w:rsidR="0067219E">
        <w:rPr>
          <w:rFonts w:eastAsia="Times New Roman"/>
          <w:color w:val="000000"/>
          <w:spacing w:val="-2"/>
        </w:rPr>
        <w:t>issued</w:t>
      </w:r>
      <w:r w:rsidR="0067219E" w:rsidRPr="00150929">
        <w:rPr>
          <w:rFonts w:eastAsia="Times New Roman"/>
          <w:color w:val="000000"/>
          <w:spacing w:val="-2"/>
        </w:rPr>
        <w:t xml:space="preserve"> guidance </w:t>
      </w:r>
      <w:r w:rsidR="0067219E" w:rsidRPr="00150929">
        <w:rPr>
          <w:rFonts w:eastAsia="Times New Roman"/>
          <w:color w:val="000000"/>
          <w:spacing w:val="-1"/>
        </w:rPr>
        <w:t xml:space="preserve">that an auctioneer was not required to collect sales tax when it sold tangible personal property for the owner at the owner's location. This interpretation applied </w:t>
      </w:r>
      <w:r w:rsidR="0067219E">
        <w:rPr>
          <w:rFonts w:eastAsia="Times New Roman"/>
          <w:color w:val="000000"/>
          <w:spacing w:val="-1"/>
        </w:rPr>
        <w:t xml:space="preserve">to </w:t>
      </w:r>
      <w:r w:rsidR="0067219E" w:rsidRPr="00150929">
        <w:rPr>
          <w:rFonts w:eastAsia="Times New Roman"/>
          <w:color w:val="000000"/>
          <w:spacing w:val="-1"/>
        </w:rPr>
        <w:t xml:space="preserve">estate sales conducted at an owner's premises, including livestock auctions conducted at the seller’s farm, and to on-site sales of fixtures and equipment belonging to merchants going out of business. The theory behind this interpretation was that the auctioneer was acting as an agent for the owner of the property and so was entitled to the benefit of the casual sale exemption to which the owner would have been entitled if </w:t>
      </w:r>
      <w:r w:rsidR="0067219E">
        <w:rPr>
          <w:rFonts w:eastAsia="Times New Roman"/>
          <w:color w:val="000000"/>
          <w:spacing w:val="-1"/>
        </w:rPr>
        <w:t>it made the sale itself.</w:t>
      </w:r>
      <w:r w:rsidR="0067219E" w:rsidRPr="0067219E">
        <w:rPr>
          <w:rFonts w:eastAsia="Times New Roman"/>
          <w:color w:val="000000"/>
          <w:spacing w:val="-1"/>
        </w:rPr>
        <w:t xml:space="preserve"> </w:t>
      </w:r>
      <w:r w:rsidR="0067219E">
        <w:rPr>
          <w:rFonts w:eastAsia="Times New Roman"/>
          <w:color w:val="000000"/>
          <w:spacing w:val="-1"/>
        </w:rPr>
        <w:t>Last year’s enactment of legislation requiring marketplace facilitators to collect tax on facilitated sales changed this result for any auctioneer that met the definition of a marketplace facilitator, regardless of where the auction was held. The application of the marketplace facilitator rules to auctioneers led to confusion in the auction industry. House Bill 1079 therefore provides two relief provisions for auctioneers</w:t>
      </w:r>
      <w:r>
        <w:rPr>
          <w:rFonts w:eastAsia="Times New Roman"/>
          <w:color w:val="000000"/>
          <w:spacing w:val="-2"/>
        </w:rPr>
        <w:t>:</w:t>
      </w:r>
    </w:p>
    <w:p w14:paraId="54FFAB38" w14:textId="77777777" w:rsidR="00150929" w:rsidRDefault="001707A9" w:rsidP="00150929">
      <w:pPr>
        <w:pStyle w:val="ListParagraph"/>
        <w:numPr>
          <w:ilvl w:val="0"/>
          <w:numId w:val="9"/>
        </w:numPr>
        <w:tabs>
          <w:tab w:val="left" w:pos="720"/>
        </w:tabs>
        <w:spacing w:before="211" w:after="1" w:line="275" w:lineRule="exact"/>
        <w:textAlignment w:val="baseline"/>
        <w:rPr>
          <w:rFonts w:eastAsia="Times New Roman"/>
          <w:color w:val="000000"/>
          <w:spacing w:val="-1"/>
        </w:rPr>
      </w:pPr>
      <w:r w:rsidRPr="00150929">
        <w:rPr>
          <w:rFonts w:eastAsia="Times New Roman"/>
          <w:color w:val="000000"/>
          <w:u w:val="single"/>
        </w:rPr>
        <w:t>Tag Sales, Estate Sales and Going-out-of-business Sales by Auctioneers</w:t>
      </w:r>
      <w:r w:rsidR="00150929" w:rsidRPr="00150929">
        <w:rPr>
          <w:rFonts w:eastAsia="Times New Roman"/>
          <w:color w:val="000000"/>
        </w:rPr>
        <w:t>:</w:t>
      </w:r>
      <w:r w:rsidR="00150929" w:rsidRPr="00150929">
        <w:rPr>
          <w:rFonts w:eastAsia="Times New Roman"/>
          <w:i/>
          <w:color w:val="000000"/>
        </w:rPr>
        <w:t xml:space="preserve"> </w:t>
      </w:r>
      <w:r w:rsidR="0067219E">
        <w:rPr>
          <w:rFonts w:eastAsia="Times New Roman"/>
          <w:color w:val="000000"/>
          <w:spacing w:val="-1"/>
        </w:rPr>
        <w:t xml:space="preserve">House Bill 1079 provides that the Department may not assess taxes with respect to periods beginning on or after February 1 and ending before October 1, 2020 with respect to </w:t>
      </w:r>
      <w:r w:rsidR="0067219E" w:rsidRPr="00711951">
        <w:rPr>
          <w:rFonts w:eastAsia="Times New Roman"/>
          <w:color w:val="000000"/>
          <w:spacing w:val="-1"/>
        </w:rPr>
        <w:t xml:space="preserve">businesses that conduct tag sales or estate sales at either a person's home or farm and </w:t>
      </w:r>
      <w:r w:rsidR="0067219E">
        <w:rPr>
          <w:rFonts w:eastAsia="Times New Roman"/>
          <w:color w:val="000000"/>
          <w:spacing w:val="-1"/>
        </w:rPr>
        <w:t>to</w:t>
      </w:r>
      <w:r w:rsidR="0067219E" w:rsidRPr="00711951">
        <w:rPr>
          <w:rFonts w:eastAsia="Times New Roman"/>
          <w:color w:val="000000"/>
          <w:spacing w:val="-1"/>
        </w:rPr>
        <w:t xml:space="preserve"> auctions of fixtures and equipment that were held for use by a retail or wholesale business when the sale is conducted at the business location</w:t>
      </w:r>
      <w:r w:rsidR="0067219E" w:rsidRPr="00711951">
        <w:rPr>
          <w:rFonts w:eastAsia="Times New Roman"/>
          <w:color w:val="000000"/>
        </w:rPr>
        <w:t>.</w:t>
      </w:r>
      <w:r w:rsidR="0067219E">
        <w:rPr>
          <w:rFonts w:eastAsia="Times New Roman"/>
          <w:color w:val="000000"/>
        </w:rPr>
        <w:t xml:space="preserve"> This grace period does not apply to taxpayers who received written advice from the Department covering the transactions at issue, to persons who collected but failed to remit the tax due or to retail sales of inventory.</w:t>
      </w:r>
      <w:r w:rsidR="0067219E">
        <w:rPr>
          <w:rStyle w:val="FootnoteReference"/>
          <w:rFonts w:eastAsia="Times New Roman"/>
          <w:color w:val="000000"/>
        </w:rPr>
        <w:footnoteReference w:id="40"/>
      </w:r>
      <w:r w:rsidR="00150929">
        <w:rPr>
          <w:rFonts w:eastAsia="Times New Roman"/>
          <w:color w:val="000000"/>
          <w:spacing w:val="-1"/>
        </w:rPr>
        <w:br/>
      </w:r>
    </w:p>
    <w:p w14:paraId="6F58596F" w14:textId="77777777" w:rsidR="00150929" w:rsidRPr="00150929" w:rsidRDefault="00150929" w:rsidP="00150929">
      <w:pPr>
        <w:pStyle w:val="ListParagraph"/>
        <w:numPr>
          <w:ilvl w:val="0"/>
          <w:numId w:val="9"/>
        </w:numPr>
        <w:tabs>
          <w:tab w:val="left" w:pos="720"/>
        </w:tabs>
        <w:spacing w:before="211" w:after="1" w:line="275" w:lineRule="exact"/>
        <w:textAlignment w:val="baseline"/>
        <w:rPr>
          <w:rFonts w:eastAsia="Times New Roman"/>
          <w:color w:val="000000"/>
          <w:spacing w:val="-2"/>
          <w:u w:val="single"/>
        </w:rPr>
      </w:pPr>
      <w:r w:rsidRPr="00150929">
        <w:rPr>
          <w:rFonts w:eastAsia="Times New Roman"/>
          <w:color w:val="000000"/>
          <w:spacing w:val="-2"/>
          <w:u w:val="single"/>
        </w:rPr>
        <w:t>Livestock Sales by Auctioneers</w:t>
      </w:r>
      <w:r w:rsidRPr="00150929">
        <w:rPr>
          <w:rFonts w:eastAsia="Times New Roman"/>
          <w:color w:val="000000"/>
          <w:spacing w:val="-2"/>
        </w:rPr>
        <w:t xml:space="preserve">: </w:t>
      </w:r>
      <w:r w:rsidRPr="00150929">
        <w:rPr>
          <w:rFonts w:eastAsia="Times New Roman"/>
          <w:color w:val="000000"/>
          <w:spacing w:val="-1"/>
        </w:rPr>
        <w:t>A farmer is entitled to a sales tax exemption on sales of farm products, including livestock.</w:t>
      </w:r>
      <w:r>
        <w:rPr>
          <w:rStyle w:val="FootnoteReference"/>
          <w:rFonts w:eastAsia="Times New Roman"/>
          <w:color w:val="000000"/>
          <w:spacing w:val="-1"/>
        </w:rPr>
        <w:footnoteReference w:id="41"/>
      </w:r>
      <w:r w:rsidRPr="00150929">
        <w:rPr>
          <w:rFonts w:eastAsia="Times New Roman"/>
          <w:color w:val="000000"/>
          <w:spacing w:val="-1"/>
        </w:rPr>
        <w:t xml:space="preserve"> An auctioneer selling livestock on behalf of the farmer, however, is not entitled to the benefit of this exemption. Because of confusion over this issue, House Bill 1079 </w:t>
      </w:r>
      <w:r w:rsidRPr="00150929">
        <w:rPr>
          <w:rFonts w:eastAsia="Times New Roman"/>
          <w:color w:val="000000"/>
        </w:rPr>
        <w:t>authorizes the Secretary to compromise the liability of an auctioneer with respect to the sale of livestock at auction for which the auctioneer failed to collect sales tax if the auctioneer can demonstrate a good faith effort to comply with the tax laws. A showing of good faith includes being registered as a retailer by July 1, 2020. This relief provision applies only to tax due for a reporting periods ending before July 1, 2020, and does not apply if the taxpayer had received written advice from the Department regarding the transactions at issue or collected but failed to remit the tax due.</w:t>
      </w:r>
      <w:r>
        <w:rPr>
          <w:rStyle w:val="FootnoteReference"/>
          <w:rFonts w:eastAsia="Times New Roman"/>
          <w:color w:val="000000"/>
        </w:rPr>
        <w:footnoteReference w:id="42"/>
      </w:r>
    </w:p>
    <w:p w14:paraId="2B6BEC37" w14:textId="77777777" w:rsidR="001707A9" w:rsidRDefault="001707A9" w:rsidP="00F87ECF">
      <w:pPr>
        <w:spacing w:before="120" w:line="276" w:lineRule="exact"/>
        <w:textAlignment w:val="baseline"/>
        <w:rPr>
          <w:rFonts w:eastAsia="Times New Roman"/>
          <w:color w:val="000000"/>
          <w:spacing w:val="-1"/>
        </w:rPr>
      </w:pPr>
    </w:p>
    <w:p w14:paraId="6651BB3E" w14:textId="77777777" w:rsidR="001707A9" w:rsidRDefault="001707A9" w:rsidP="00F87ECF">
      <w:pPr>
        <w:spacing w:before="120" w:line="276" w:lineRule="exact"/>
        <w:textAlignment w:val="baseline"/>
        <w:rPr>
          <w:rFonts w:eastAsia="Times New Roman"/>
          <w:color w:val="000000"/>
        </w:rPr>
      </w:pPr>
    </w:p>
    <w:p w14:paraId="68891B61" w14:textId="77777777" w:rsidR="001707A9" w:rsidRPr="003A73C7" w:rsidRDefault="001707A9" w:rsidP="001707A9">
      <w:pPr>
        <w:spacing w:before="120" w:line="276" w:lineRule="exact"/>
        <w:jc w:val="both"/>
        <w:textAlignment w:val="baseline"/>
        <w:rPr>
          <w:rFonts w:eastAsia="Times New Roman"/>
          <w:i/>
          <w:color w:val="000000"/>
        </w:rPr>
      </w:pPr>
      <w:r w:rsidRPr="003A73C7">
        <w:rPr>
          <w:rFonts w:eastAsia="Times New Roman"/>
          <w:i/>
          <w:color w:val="000000"/>
        </w:rPr>
        <w:lastRenderedPageBreak/>
        <w:t>Large Fulfillment Facility Exemption Expansion</w:t>
      </w:r>
    </w:p>
    <w:p w14:paraId="6EEC3A9E" w14:textId="77777777" w:rsidR="001707A9" w:rsidRDefault="001707A9" w:rsidP="0067219E">
      <w:pPr>
        <w:spacing w:before="200" w:line="276" w:lineRule="exact"/>
        <w:textAlignment w:val="baseline"/>
        <w:rPr>
          <w:rFonts w:eastAsia="Times New Roman"/>
          <w:color w:val="000000"/>
        </w:rPr>
      </w:pPr>
      <w:r>
        <w:rPr>
          <w:rFonts w:eastAsia="Times New Roman"/>
          <w:color w:val="000000"/>
        </w:rPr>
        <w:t xml:space="preserve">In 2017, the General Assembly enacted a sales and use tax exemption for certain equipment purchased by a </w:t>
      </w:r>
      <w:r w:rsidR="0067219E">
        <w:rPr>
          <w:rFonts w:eastAsia="Times New Roman"/>
          <w:color w:val="000000"/>
        </w:rPr>
        <w:t>“</w:t>
      </w:r>
      <w:r>
        <w:rPr>
          <w:rFonts w:eastAsia="Times New Roman"/>
          <w:color w:val="000000"/>
        </w:rPr>
        <w:t>large fulfillment facility,</w:t>
      </w:r>
      <w:r w:rsidR="0067219E">
        <w:rPr>
          <w:rFonts w:eastAsia="Times New Roman"/>
          <w:color w:val="000000"/>
        </w:rPr>
        <w:t>”</w:t>
      </w:r>
      <w:r>
        <w:rPr>
          <w:rFonts w:eastAsia="Times New Roman"/>
          <w:color w:val="000000"/>
        </w:rPr>
        <w:t xml:space="preserve"> defined as a facility used primarily for receiving, inventorying, sorting, repackaging, and distributing finished retail products for the purpose of fulfilling customer orders. </w:t>
      </w:r>
      <w:r w:rsidR="0067219E">
        <w:rPr>
          <w:rFonts w:eastAsia="Times New Roman"/>
          <w:color w:val="000000"/>
        </w:rPr>
        <w:t>To be eligible for the exemption</w:t>
      </w:r>
      <w:r>
        <w:rPr>
          <w:rFonts w:eastAsia="Times New Roman"/>
          <w:color w:val="000000"/>
        </w:rPr>
        <w:t xml:space="preserve">, the Department of Commerce must have certified that an investment of at least $100 million would be made in the facility within five years and that the facility would </w:t>
      </w:r>
      <w:r w:rsidR="0067219E">
        <w:rPr>
          <w:rFonts w:eastAsia="Times New Roman"/>
          <w:color w:val="000000"/>
        </w:rPr>
        <w:t>employ</w:t>
      </w:r>
      <w:r>
        <w:rPr>
          <w:rFonts w:eastAsia="Times New Roman"/>
          <w:color w:val="000000"/>
        </w:rPr>
        <w:t xml:space="preserve"> 400 people. </w:t>
      </w:r>
      <w:r w:rsidR="00CC0190">
        <w:rPr>
          <w:rFonts w:eastAsia="Times New Roman"/>
          <w:color w:val="000000"/>
        </w:rPr>
        <w:t>House Bill 1079</w:t>
      </w:r>
      <w:r>
        <w:rPr>
          <w:rFonts w:eastAsia="Times New Roman"/>
          <w:color w:val="000000"/>
        </w:rPr>
        <w:t xml:space="preserve"> expands the large fulfillment facility exemption to cover equipment used </w:t>
      </w:r>
      <w:r w:rsidR="0067219E">
        <w:rPr>
          <w:rFonts w:eastAsia="Times New Roman"/>
          <w:color w:val="000000"/>
        </w:rPr>
        <w:t>(i)</w:t>
      </w:r>
      <w:r>
        <w:rPr>
          <w:rFonts w:eastAsia="Times New Roman"/>
          <w:color w:val="000000"/>
        </w:rPr>
        <w:t xml:space="preserve"> </w:t>
      </w:r>
      <w:r w:rsidR="0067219E">
        <w:rPr>
          <w:rFonts w:eastAsia="Times New Roman"/>
          <w:color w:val="000000"/>
        </w:rPr>
        <w:t xml:space="preserve">to </w:t>
      </w:r>
      <w:r>
        <w:rPr>
          <w:rFonts w:eastAsia="Times New Roman"/>
          <w:color w:val="000000"/>
        </w:rPr>
        <w:t>bal</w:t>
      </w:r>
      <w:r w:rsidR="0067219E">
        <w:rPr>
          <w:rFonts w:eastAsia="Times New Roman"/>
          <w:color w:val="000000"/>
        </w:rPr>
        <w:t>e</w:t>
      </w:r>
      <w:r>
        <w:rPr>
          <w:rFonts w:eastAsia="Times New Roman"/>
          <w:color w:val="000000"/>
        </w:rPr>
        <w:t xml:space="preserve"> previously used packaging for resale, </w:t>
      </w:r>
      <w:r w:rsidR="0067219E">
        <w:rPr>
          <w:rFonts w:eastAsia="Times New Roman"/>
          <w:color w:val="000000"/>
        </w:rPr>
        <w:t xml:space="preserve">(ii) to </w:t>
      </w:r>
      <w:r>
        <w:rPr>
          <w:rFonts w:eastAsia="Times New Roman"/>
          <w:color w:val="000000"/>
        </w:rPr>
        <w:t>sanitiz</w:t>
      </w:r>
      <w:r w:rsidR="0067219E">
        <w:rPr>
          <w:rFonts w:eastAsia="Times New Roman"/>
          <w:color w:val="000000"/>
        </w:rPr>
        <w:t>e in accordance with federal requirements and (iii) to handle materials</w:t>
      </w:r>
      <w:r>
        <w:rPr>
          <w:rFonts w:eastAsia="Times New Roman"/>
          <w:color w:val="000000"/>
        </w:rPr>
        <w:t>. In addition, the exemption is expanded to cover items purchased by a contractor or subcontractor if the purchase is for use in the performance of a contract with the large fulfillment facility.</w:t>
      </w:r>
      <w:r>
        <w:rPr>
          <w:rStyle w:val="FootnoteReference"/>
          <w:rFonts w:eastAsia="Times New Roman"/>
          <w:color w:val="000000"/>
        </w:rPr>
        <w:footnoteReference w:id="43"/>
      </w:r>
      <w:r w:rsidR="0067219E">
        <w:rPr>
          <w:rFonts w:eastAsia="Times New Roman"/>
          <w:color w:val="000000"/>
        </w:rPr>
        <w:t xml:space="preserve"> </w:t>
      </w:r>
      <w:r>
        <w:rPr>
          <w:rFonts w:eastAsia="Times New Roman"/>
          <w:color w:val="000000"/>
        </w:rPr>
        <w:t>These expansions of the exemption were intended to make it available to the Publix grocery store chain, which is building a distribution center in Greensboro.</w:t>
      </w:r>
    </w:p>
    <w:p w14:paraId="7791AC31" w14:textId="77777777" w:rsidR="001707A9" w:rsidRDefault="001707A9" w:rsidP="00F87ECF">
      <w:pPr>
        <w:spacing w:before="120" w:line="276" w:lineRule="exact"/>
        <w:textAlignment w:val="baseline"/>
        <w:rPr>
          <w:rFonts w:eastAsia="Times New Roman"/>
          <w:color w:val="000000"/>
        </w:rPr>
      </w:pPr>
      <w:r>
        <w:rPr>
          <w:rFonts w:eastAsia="Times New Roman"/>
          <w:color w:val="000000"/>
        </w:rPr>
        <w:t>Th</w:t>
      </w:r>
      <w:r w:rsidR="0067219E">
        <w:rPr>
          <w:rFonts w:eastAsia="Times New Roman"/>
          <w:color w:val="000000"/>
        </w:rPr>
        <w:t>ese</w:t>
      </w:r>
      <w:r>
        <w:rPr>
          <w:rFonts w:eastAsia="Times New Roman"/>
          <w:color w:val="000000"/>
        </w:rPr>
        <w:t xml:space="preserve"> provision</w:t>
      </w:r>
      <w:r w:rsidR="0067219E">
        <w:rPr>
          <w:rFonts w:eastAsia="Times New Roman"/>
          <w:color w:val="000000"/>
        </w:rPr>
        <w:t>s are</w:t>
      </w:r>
      <w:r>
        <w:rPr>
          <w:rFonts w:eastAsia="Times New Roman"/>
          <w:color w:val="000000"/>
        </w:rPr>
        <w:t xml:space="preserve"> effective for sales occurring on or after July 1, 2020.</w:t>
      </w:r>
      <w:r>
        <w:rPr>
          <w:rStyle w:val="FootnoteReference"/>
          <w:rFonts w:eastAsia="Times New Roman"/>
          <w:color w:val="000000"/>
        </w:rPr>
        <w:footnoteReference w:id="44"/>
      </w:r>
      <w:r>
        <w:rPr>
          <w:rFonts w:eastAsia="Times New Roman"/>
          <w:color w:val="000000"/>
        </w:rPr>
        <w:t xml:space="preserve"> However, the bill provides that a large fulfillment facility that made purchases, directly or through contractors or subcontractors, of equipment covered by the exemption (as expanded by the bill) between April 1 and July 1 of 2020 may obtain a refund of taxes paid on such purchases by filing a refund request before October 1, 2020.</w:t>
      </w:r>
      <w:r>
        <w:rPr>
          <w:rStyle w:val="FootnoteReference"/>
          <w:rFonts w:eastAsia="Times New Roman"/>
          <w:color w:val="000000"/>
        </w:rPr>
        <w:footnoteReference w:id="45"/>
      </w:r>
    </w:p>
    <w:p w14:paraId="2A87CA1D" w14:textId="77777777" w:rsidR="001707A9" w:rsidRDefault="001707A9" w:rsidP="001707A9">
      <w:pPr>
        <w:spacing w:before="120" w:line="276" w:lineRule="exact"/>
        <w:jc w:val="both"/>
        <w:textAlignment w:val="baseline"/>
        <w:rPr>
          <w:rFonts w:eastAsia="Times New Roman"/>
          <w:i/>
          <w:color w:val="000000"/>
        </w:rPr>
      </w:pPr>
      <w:r w:rsidRPr="003A73C7">
        <w:rPr>
          <w:rFonts w:eastAsia="Times New Roman"/>
          <w:i/>
          <w:color w:val="000000"/>
        </w:rPr>
        <w:t xml:space="preserve">Digital Property </w:t>
      </w:r>
      <w:r w:rsidR="009B2A63">
        <w:rPr>
          <w:rFonts w:eastAsia="Times New Roman"/>
          <w:i/>
          <w:color w:val="000000"/>
        </w:rPr>
        <w:t>Provisions</w:t>
      </w:r>
    </w:p>
    <w:p w14:paraId="36618D2F" w14:textId="77777777" w:rsidR="009B2A63" w:rsidRPr="009B2A63" w:rsidRDefault="009B2A63" w:rsidP="001707A9">
      <w:pPr>
        <w:spacing w:before="120" w:line="276" w:lineRule="exact"/>
        <w:jc w:val="both"/>
        <w:textAlignment w:val="baseline"/>
        <w:rPr>
          <w:rFonts w:eastAsia="Times New Roman"/>
          <w:color w:val="000000"/>
        </w:rPr>
      </w:pPr>
      <w:r>
        <w:rPr>
          <w:rFonts w:eastAsia="Times New Roman"/>
          <w:color w:val="000000"/>
        </w:rPr>
        <w:t>House Bills 1079 and 1080 made a number of changes regarding the sales taxation of digital property.</w:t>
      </w:r>
    </w:p>
    <w:p w14:paraId="577204F6" w14:textId="77777777" w:rsidR="009B2A63" w:rsidRDefault="009B2A63" w:rsidP="009B2A63">
      <w:pPr>
        <w:pStyle w:val="ListParagraph"/>
        <w:numPr>
          <w:ilvl w:val="0"/>
          <w:numId w:val="7"/>
        </w:numPr>
      </w:pPr>
      <w:r w:rsidRPr="009B2A63">
        <w:rPr>
          <w:u w:val="single"/>
        </w:rPr>
        <w:t>Digital Code</w:t>
      </w:r>
      <w:r>
        <w:t>: House Bill 1080</w:t>
      </w:r>
      <w:r w:rsidRPr="00F34E8F">
        <w:t xml:space="preserve"> provide</w:t>
      </w:r>
      <w:r>
        <w:t>s</w:t>
      </w:r>
      <w:r w:rsidRPr="00F34E8F">
        <w:t xml:space="preserve"> that the sales and use tax on </w:t>
      </w:r>
      <w:r w:rsidR="0067219E">
        <w:t>“</w:t>
      </w:r>
      <w:r w:rsidRPr="00F34E8F">
        <w:t>certain digital property</w:t>
      </w:r>
      <w:r w:rsidR="0067219E">
        <w:t>”</w:t>
      </w:r>
      <w:r w:rsidRPr="00F34E8F">
        <w:t xml:space="preserve"> also applies to digital code. Thus, the sale or use of digital code is taxable to the same extent as the sale or use of certain digital property to which the code relates.</w:t>
      </w:r>
      <w:bookmarkStart w:id="35" w:name="_ftnref37"/>
      <w:r>
        <w:rPr>
          <w:rStyle w:val="FootnoteReference"/>
        </w:rPr>
        <w:footnoteReference w:id="46"/>
      </w:r>
      <w:bookmarkEnd w:id="35"/>
      <w:r w:rsidRPr="00F34E8F">
        <w:t xml:space="preserve"> This change </w:t>
      </w:r>
      <w:r>
        <w:t>is</w:t>
      </w:r>
      <w:r w:rsidRPr="00F34E8F">
        <w:t xml:space="preserve"> effective upon enactment.</w:t>
      </w:r>
      <w:bookmarkStart w:id="36" w:name="_ftnref38"/>
      <w:r>
        <w:rPr>
          <w:rStyle w:val="FootnoteReference"/>
        </w:rPr>
        <w:footnoteReference w:id="47"/>
      </w:r>
      <w:bookmarkEnd w:id="36"/>
      <w:r>
        <w:t xml:space="preserve"> </w:t>
      </w:r>
      <w:r>
        <w:br/>
      </w:r>
    </w:p>
    <w:p w14:paraId="4C3536BF" w14:textId="77777777" w:rsidR="001707A9" w:rsidRPr="009B2A63" w:rsidRDefault="009B2A63" w:rsidP="00F87ECF">
      <w:pPr>
        <w:pStyle w:val="ListParagraph"/>
        <w:numPr>
          <w:ilvl w:val="0"/>
          <w:numId w:val="7"/>
        </w:numPr>
        <w:spacing w:before="120" w:line="276" w:lineRule="exact"/>
        <w:textAlignment w:val="baseline"/>
        <w:rPr>
          <w:rFonts w:eastAsia="Times New Roman"/>
          <w:color w:val="000000"/>
        </w:rPr>
      </w:pPr>
      <w:r w:rsidRPr="009B2A63">
        <w:rPr>
          <w:rFonts w:eastAsia="Times New Roman"/>
          <w:color w:val="000000"/>
          <w:u w:val="single"/>
        </w:rPr>
        <w:t>Educational Services</w:t>
      </w:r>
      <w:r w:rsidRPr="009B2A63">
        <w:rPr>
          <w:rFonts w:eastAsia="Times New Roman"/>
          <w:color w:val="000000"/>
        </w:rPr>
        <w:t xml:space="preserve">: </w:t>
      </w:r>
      <w:r w:rsidR="001707A9" w:rsidRPr="009B2A63">
        <w:rPr>
          <w:rFonts w:eastAsia="Times New Roman"/>
          <w:color w:val="000000"/>
        </w:rPr>
        <w:t xml:space="preserve">Last year the General Assembly revised the definition of “certain digital property” to eliminate any suggestion that </w:t>
      </w:r>
      <w:r w:rsidR="0067219E">
        <w:rPr>
          <w:rFonts w:eastAsia="Times New Roman"/>
          <w:color w:val="000000"/>
        </w:rPr>
        <w:t xml:space="preserve">the </w:t>
      </w:r>
      <w:r w:rsidR="001707A9" w:rsidRPr="009B2A63">
        <w:rPr>
          <w:rFonts w:eastAsia="Times New Roman"/>
          <w:color w:val="000000"/>
        </w:rPr>
        <w:t xml:space="preserve">only digital property that </w:t>
      </w:r>
      <w:r w:rsidR="0067219E">
        <w:rPr>
          <w:rFonts w:eastAsia="Times New Roman"/>
          <w:color w:val="000000"/>
        </w:rPr>
        <w:t xml:space="preserve">was subject to tax was digital property that </w:t>
      </w:r>
      <w:r w:rsidR="001707A9" w:rsidRPr="009B2A63">
        <w:rPr>
          <w:rFonts w:eastAsia="Times New Roman"/>
          <w:color w:val="000000"/>
        </w:rPr>
        <w:t>had a tangible counterpart.</w:t>
      </w:r>
      <w:r w:rsidR="001707A9">
        <w:rPr>
          <w:rStyle w:val="FootnoteReference"/>
          <w:rFonts w:eastAsia="Times New Roman"/>
          <w:color w:val="000000"/>
        </w:rPr>
        <w:footnoteReference w:id="48"/>
      </w:r>
      <w:r w:rsidR="001707A9" w:rsidRPr="009B2A63">
        <w:rPr>
          <w:rFonts w:eastAsia="Times New Roman"/>
          <w:color w:val="000000"/>
        </w:rPr>
        <w:t xml:space="preserve"> This </w:t>
      </w:r>
      <w:r w:rsidR="0067219E">
        <w:rPr>
          <w:rFonts w:eastAsia="Times New Roman"/>
          <w:color w:val="000000"/>
        </w:rPr>
        <w:t xml:space="preserve">change </w:t>
      </w:r>
      <w:r w:rsidR="001707A9" w:rsidRPr="009B2A63">
        <w:rPr>
          <w:rFonts w:eastAsia="Times New Roman"/>
          <w:color w:val="000000"/>
        </w:rPr>
        <w:t xml:space="preserve">led </w:t>
      </w:r>
      <w:r w:rsidR="0067219E">
        <w:rPr>
          <w:rFonts w:eastAsia="Times New Roman"/>
          <w:color w:val="000000"/>
        </w:rPr>
        <w:t xml:space="preserve">UNC </w:t>
      </w:r>
      <w:r w:rsidR="001707A9" w:rsidRPr="009B2A63">
        <w:rPr>
          <w:rFonts w:eastAsia="Times New Roman"/>
          <w:color w:val="000000"/>
        </w:rPr>
        <w:t xml:space="preserve">to </w:t>
      </w:r>
      <w:r w:rsidR="0067219E">
        <w:rPr>
          <w:rFonts w:eastAsia="Times New Roman"/>
          <w:color w:val="000000"/>
        </w:rPr>
        <w:t>inquire</w:t>
      </w:r>
      <w:r w:rsidR="001707A9" w:rsidRPr="009B2A63">
        <w:rPr>
          <w:rFonts w:eastAsia="Times New Roman"/>
          <w:color w:val="000000"/>
        </w:rPr>
        <w:t xml:space="preserve"> whether the provision of online education was taxable, since the </w:t>
      </w:r>
      <w:r w:rsidR="0067219E">
        <w:rPr>
          <w:rFonts w:eastAsia="Times New Roman"/>
          <w:color w:val="000000"/>
        </w:rPr>
        <w:t xml:space="preserve">revised </w:t>
      </w:r>
      <w:r w:rsidR="001707A9" w:rsidRPr="009B2A63">
        <w:rPr>
          <w:rFonts w:eastAsia="Times New Roman"/>
          <w:color w:val="000000"/>
        </w:rPr>
        <w:t xml:space="preserve">definition of “certain digital property” would </w:t>
      </w:r>
      <w:r w:rsidR="0067219E">
        <w:rPr>
          <w:rFonts w:eastAsia="Times New Roman"/>
          <w:color w:val="000000"/>
        </w:rPr>
        <w:t>cover</w:t>
      </w:r>
      <w:r w:rsidR="001707A9" w:rsidRPr="009B2A63">
        <w:rPr>
          <w:rFonts w:eastAsia="Times New Roman"/>
          <w:color w:val="000000"/>
        </w:rPr>
        <w:t xml:space="preserve"> live-streamed </w:t>
      </w:r>
      <w:r w:rsidR="0067219E">
        <w:rPr>
          <w:rFonts w:eastAsia="Times New Roman"/>
          <w:color w:val="000000"/>
        </w:rPr>
        <w:t>and</w:t>
      </w:r>
      <w:r w:rsidR="001707A9" w:rsidRPr="009B2A63">
        <w:rPr>
          <w:rFonts w:eastAsia="Times New Roman"/>
          <w:color w:val="000000"/>
        </w:rPr>
        <w:t xml:space="preserve"> pre-recorded videos of online classes and presentations. </w:t>
      </w:r>
      <w:r w:rsidR="00CC0190" w:rsidRPr="009B2A63">
        <w:rPr>
          <w:rFonts w:eastAsia="Times New Roman"/>
          <w:color w:val="000000"/>
        </w:rPr>
        <w:t>House Bill 1079</w:t>
      </w:r>
      <w:r w:rsidR="001707A9" w:rsidRPr="009B2A63">
        <w:rPr>
          <w:rFonts w:eastAsia="Times New Roman"/>
          <w:color w:val="000000"/>
        </w:rPr>
        <w:t xml:space="preserve"> </w:t>
      </w:r>
      <w:r w:rsidR="0067219E">
        <w:rPr>
          <w:rFonts w:eastAsia="Times New Roman"/>
          <w:color w:val="000000"/>
        </w:rPr>
        <w:t xml:space="preserve">addresses this concern by </w:t>
      </w:r>
      <w:r w:rsidR="001707A9" w:rsidRPr="009B2A63">
        <w:rPr>
          <w:rFonts w:eastAsia="Times New Roman"/>
          <w:color w:val="000000"/>
        </w:rPr>
        <w:t>further revis</w:t>
      </w:r>
      <w:r w:rsidR="0067219E">
        <w:rPr>
          <w:rFonts w:eastAsia="Times New Roman"/>
          <w:color w:val="000000"/>
        </w:rPr>
        <w:t>ing</w:t>
      </w:r>
      <w:r w:rsidR="001707A9" w:rsidRPr="009B2A63">
        <w:rPr>
          <w:rFonts w:eastAsia="Times New Roman"/>
          <w:color w:val="000000"/>
        </w:rPr>
        <w:t xml:space="preserve"> the definition of “certain digital property” to exclude a digitally delivered “education service.”</w:t>
      </w:r>
      <w:r w:rsidR="001707A9">
        <w:rPr>
          <w:rStyle w:val="FootnoteReference"/>
          <w:rFonts w:eastAsia="Times New Roman"/>
          <w:color w:val="000000"/>
        </w:rPr>
        <w:footnoteReference w:id="49"/>
      </w:r>
      <w:r w:rsidR="001707A9" w:rsidRPr="009B2A63">
        <w:rPr>
          <w:rFonts w:eastAsia="Times New Roman"/>
          <w:color w:val="000000"/>
        </w:rPr>
        <w:t xml:space="preserve"> An education service is defined as the delivery of instruction or training in real time, on demand or as a scheduled replay by or on behalf of a </w:t>
      </w:r>
      <w:r w:rsidR="0067219E">
        <w:rPr>
          <w:rFonts w:eastAsia="Times New Roman"/>
          <w:color w:val="000000"/>
        </w:rPr>
        <w:t>“</w:t>
      </w:r>
      <w:r w:rsidR="001707A9" w:rsidRPr="009B2A63">
        <w:rPr>
          <w:rFonts w:eastAsia="Times New Roman"/>
          <w:color w:val="000000"/>
        </w:rPr>
        <w:t>qualifying educational entity,</w:t>
      </w:r>
      <w:r w:rsidR="0067219E">
        <w:rPr>
          <w:rFonts w:eastAsia="Times New Roman"/>
          <w:color w:val="000000"/>
        </w:rPr>
        <w:t>”</w:t>
      </w:r>
      <w:r w:rsidR="001707A9" w:rsidRPr="009B2A63">
        <w:rPr>
          <w:rFonts w:eastAsia="Times New Roman"/>
          <w:color w:val="000000"/>
        </w:rPr>
        <w:t xml:space="preserve"> if the service satisfies one of a list of conditions.</w:t>
      </w:r>
      <w:r w:rsidR="001707A9">
        <w:rPr>
          <w:rStyle w:val="FootnoteReference"/>
          <w:rFonts w:eastAsia="Times New Roman"/>
          <w:color w:val="000000"/>
        </w:rPr>
        <w:footnoteReference w:id="50"/>
      </w:r>
      <w:r w:rsidR="0067219E">
        <w:rPr>
          <w:rFonts w:eastAsia="Times New Roman"/>
          <w:color w:val="000000"/>
        </w:rPr>
        <w:t xml:space="preserve"> A</w:t>
      </w:r>
      <w:r w:rsidR="001707A9" w:rsidRPr="009B2A63">
        <w:rPr>
          <w:rFonts w:eastAsia="Times New Roman"/>
          <w:color w:val="000000"/>
        </w:rPr>
        <w:t xml:space="preserve"> </w:t>
      </w:r>
      <w:r w:rsidR="0067219E">
        <w:rPr>
          <w:rFonts w:eastAsia="Times New Roman"/>
          <w:color w:val="000000"/>
        </w:rPr>
        <w:t>“</w:t>
      </w:r>
      <w:r w:rsidR="001707A9" w:rsidRPr="009B2A63">
        <w:rPr>
          <w:rFonts w:eastAsia="Times New Roman"/>
          <w:color w:val="000000"/>
        </w:rPr>
        <w:t xml:space="preserve">qualifying </w:t>
      </w:r>
      <w:r w:rsidR="001707A9" w:rsidRPr="009B2A63">
        <w:rPr>
          <w:rFonts w:eastAsia="Times New Roman"/>
          <w:color w:val="000000"/>
        </w:rPr>
        <w:lastRenderedPageBreak/>
        <w:t>educational entity</w:t>
      </w:r>
      <w:r w:rsidR="0067219E">
        <w:rPr>
          <w:rFonts w:eastAsia="Times New Roman"/>
          <w:color w:val="000000"/>
        </w:rPr>
        <w:t>”</w:t>
      </w:r>
      <w:r w:rsidR="001707A9" w:rsidRPr="009B2A63">
        <w:rPr>
          <w:rFonts w:eastAsia="Times New Roman"/>
          <w:color w:val="000000"/>
        </w:rPr>
        <w:t xml:space="preserve"> is defined to include public and private K-12 schools and institutions of higher education (including public and private universities and colleges, community colleges and certain vocational programs)</w:t>
      </w:r>
      <w:r w:rsidR="0067219E">
        <w:rPr>
          <w:rFonts w:eastAsia="Times New Roman"/>
          <w:color w:val="000000"/>
        </w:rPr>
        <w:t xml:space="preserve">. The term </w:t>
      </w:r>
      <w:r w:rsidR="001707A9" w:rsidRPr="009B2A63">
        <w:rPr>
          <w:rFonts w:eastAsia="Times New Roman"/>
          <w:color w:val="000000"/>
        </w:rPr>
        <w:t>does not include for-profit or non-profit providers of professional continuing education.</w:t>
      </w:r>
      <w:r w:rsidR="001707A9" w:rsidRPr="009B2A63">
        <w:rPr>
          <w:rFonts w:cs="Times New Roman"/>
          <w:bCs/>
          <w:color w:val="555555"/>
          <w:szCs w:val="24"/>
          <w:shd w:val="clear" w:color="auto" w:fill="FFFFFF"/>
        </w:rPr>
        <w:t xml:space="preserve"> However, the bill prohibits the Department from assessing tax due for periods beginning on or after October 1, 2019, and ending before August 1, 2020, with respect to sales of digital audio works or digital audiovisual works that (1) consist of continuing education instruction approved or required by an occupational licensing board or (2) consists of professional development instruction for school board members, administrators, or staff. This relief is not available for taxpayers who received written advice from the Department covering the transactions at issue or who collected but failed to remit the tax due.</w:t>
      </w:r>
      <w:r w:rsidR="0067219E">
        <w:rPr>
          <w:rStyle w:val="FootnoteReference"/>
          <w:rFonts w:cs="Times New Roman"/>
          <w:bCs/>
          <w:color w:val="555555"/>
          <w:szCs w:val="24"/>
          <w:shd w:val="clear" w:color="auto" w:fill="FFFFFF"/>
        </w:rPr>
        <w:footnoteReference w:id="51"/>
      </w:r>
      <w:r>
        <w:rPr>
          <w:rFonts w:cs="Times New Roman"/>
          <w:bCs/>
          <w:color w:val="555555"/>
          <w:szCs w:val="24"/>
          <w:shd w:val="clear" w:color="auto" w:fill="FFFFFF"/>
        </w:rPr>
        <w:br/>
      </w:r>
    </w:p>
    <w:p w14:paraId="30820E03" w14:textId="77777777" w:rsidR="009B2A63" w:rsidRDefault="009B2A63" w:rsidP="001707A9">
      <w:pPr>
        <w:pStyle w:val="ListParagraph"/>
        <w:numPr>
          <w:ilvl w:val="0"/>
          <w:numId w:val="7"/>
        </w:numPr>
        <w:rPr>
          <w:rFonts w:eastAsia="Times New Roman"/>
          <w:color w:val="000000"/>
        </w:rPr>
      </w:pPr>
      <w:r w:rsidRPr="009B2A63">
        <w:rPr>
          <w:rFonts w:eastAsia="Times New Roman"/>
          <w:color w:val="000000"/>
          <w:u w:val="single"/>
        </w:rPr>
        <w:t>Home School Digital Materials</w:t>
      </w:r>
      <w:r w:rsidRPr="009B2A63">
        <w:rPr>
          <w:rFonts w:eastAsia="Times New Roman"/>
          <w:color w:val="000000"/>
        </w:rPr>
        <w:t xml:space="preserve">: </w:t>
      </w:r>
      <w:r w:rsidR="00CC0190" w:rsidRPr="009B2A63">
        <w:rPr>
          <w:rFonts w:eastAsia="Times New Roman"/>
          <w:color w:val="000000"/>
        </w:rPr>
        <w:t>House Bill 1079</w:t>
      </w:r>
      <w:r w:rsidR="001707A9" w:rsidRPr="009B2A63">
        <w:rPr>
          <w:rFonts w:eastAsia="Times New Roman"/>
          <w:color w:val="000000"/>
        </w:rPr>
        <w:t xml:space="preserve"> also creates an exemption for sales of audio works or audiovisual works to operators of home schools if the work is a qualifying educational expense.</w:t>
      </w:r>
      <w:r w:rsidR="001707A9">
        <w:rPr>
          <w:rStyle w:val="FootnoteReference"/>
          <w:rFonts w:eastAsia="Times New Roman"/>
          <w:color w:val="000000"/>
        </w:rPr>
        <w:footnoteReference w:id="52"/>
      </w:r>
      <w:r>
        <w:rPr>
          <w:rFonts w:eastAsia="Times New Roman"/>
          <w:color w:val="000000"/>
        </w:rPr>
        <w:br/>
      </w:r>
    </w:p>
    <w:p w14:paraId="08604DA7" w14:textId="77777777" w:rsidR="001707A9" w:rsidRPr="009B2A63" w:rsidRDefault="00F87ECF" w:rsidP="001707A9">
      <w:pPr>
        <w:pStyle w:val="ListParagraph"/>
        <w:numPr>
          <w:ilvl w:val="0"/>
          <w:numId w:val="7"/>
        </w:numPr>
        <w:rPr>
          <w:rFonts w:eastAsia="Times New Roman"/>
          <w:color w:val="000000"/>
        </w:rPr>
      </w:pPr>
      <w:r>
        <w:rPr>
          <w:rFonts w:eastAsia="Times New Roman"/>
          <w:color w:val="000000"/>
          <w:u w:val="single"/>
        </w:rPr>
        <w:t>Digital Content Provided Simultaneously with Live Events</w:t>
      </w:r>
      <w:r w:rsidRPr="00F87ECF">
        <w:rPr>
          <w:rFonts w:eastAsia="Times New Roman"/>
          <w:color w:val="000000"/>
        </w:rPr>
        <w:t>:</w:t>
      </w:r>
      <w:r>
        <w:rPr>
          <w:rFonts w:eastAsia="Times New Roman"/>
          <w:color w:val="000000"/>
        </w:rPr>
        <w:t xml:space="preserve"> </w:t>
      </w:r>
      <w:r w:rsidR="001707A9" w:rsidRPr="009B2A63">
        <w:rPr>
          <w:rFonts w:eastAsia="Times New Roman"/>
          <w:color w:val="000000"/>
        </w:rPr>
        <w:t xml:space="preserve">Finally, </w:t>
      </w:r>
      <w:r w:rsidR="00CC0190" w:rsidRPr="009B2A63">
        <w:rPr>
          <w:rFonts w:eastAsia="Times New Roman"/>
          <w:color w:val="000000"/>
        </w:rPr>
        <w:t>House Bill 1079</w:t>
      </w:r>
      <w:r w:rsidR="001707A9" w:rsidRPr="009B2A63">
        <w:rPr>
          <w:rFonts w:eastAsia="Times New Roman"/>
          <w:color w:val="000000"/>
        </w:rPr>
        <w:t xml:space="preserve"> creates an exemption for</w:t>
      </w:r>
      <w:r w:rsidR="001707A9" w:rsidRPr="009B2A63">
        <w:rPr>
          <w:rFonts w:eastAsia="Times New Roman"/>
          <w:color w:val="000000"/>
          <w:spacing w:val="-3"/>
        </w:rPr>
        <w:t xml:space="preserve"> sales of digital audio works or digital audiovisual works that consist of nontaxable service content when the transfer occurs contemporaneously and in real-time with the provision of the </w:t>
      </w:r>
      <w:r w:rsidR="001707A9" w:rsidRPr="009B2A63">
        <w:rPr>
          <w:rFonts w:eastAsia="Times New Roman"/>
          <w:color w:val="000000"/>
        </w:rPr>
        <w:t>nontaxable service.</w:t>
      </w:r>
      <w:r w:rsidR="001707A9">
        <w:rPr>
          <w:rStyle w:val="FootnoteReference"/>
          <w:rFonts w:eastAsia="Times New Roman"/>
          <w:color w:val="000000"/>
        </w:rPr>
        <w:footnoteReference w:id="53"/>
      </w:r>
      <w:r w:rsidR="001707A9" w:rsidRPr="009B2A63">
        <w:rPr>
          <w:rFonts w:eastAsia="Times New Roman"/>
          <w:color w:val="000000"/>
        </w:rPr>
        <w:t xml:space="preserve"> Examples would include an exercise class, a music lesson, or a financial planning seminar live-streamed via Zoom. This exemption is required by the federal Internet Tax Freedom Act,</w:t>
      </w:r>
      <w:r>
        <w:rPr>
          <w:rStyle w:val="FootnoteReference"/>
          <w:rFonts w:eastAsia="Times New Roman"/>
          <w:color w:val="000000"/>
        </w:rPr>
        <w:footnoteReference w:id="54"/>
      </w:r>
      <w:r w:rsidR="001707A9" w:rsidRPr="009B2A63">
        <w:rPr>
          <w:rFonts w:eastAsia="Times New Roman"/>
          <w:color w:val="000000"/>
        </w:rPr>
        <w:t xml:space="preserve"> which prohibits the states from imposing discriminatory taxes on digital goods and services. Since a live, in person exercise class is a nontaxable service, the state is prohibited from taxing the same content delivered </w:t>
      </w:r>
      <w:r w:rsidR="001C2850">
        <w:rPr>
          <w:rFonts w:eastAsia="Times New Roman"/>
          <w:color w:val="000000"/>
        </w:rPr>
        <w:t xml:space="preserve">live </w:t>
      </w:r>
      <w:r w:rsidR="001707A9" w:rsidRPr="009B2A63">
        <w:rPr>
          <w:rFonts w:eastAsia="Times New Roman"/>
          <w:color w:val="000000"/>
        </w:rPr>
        <w:t xml:space="preserve">over the Internet. However, because a video or audio recording of the same content is considered distinct from the live performance, it is not treated as entitled to the protections of the federal law. </w:t>
      </w:r>
      <w:r w:rsidR="001C2850">
        <w:rPr>
          <w:rFonts w:eastAsia="Times New Roman"/>
          <w:color w:val="000000"/>
        </w:rPr>
        <w:t>Thus</w:t>
      </w:r>
      <w:r w:rsidR="001C2850" w:rsidRPr="009B2A63">
        <w:rPr>
          <w:rFonts w:eastAsia="Times New Roman"/>
          <w:color w:val="000000"/>
        </w:rPr>
        <w:t>, pre-recorded or on-demand webinars would be taxable.</w:t>
      </w:r>
    </w:p>
    <w:p w14:paraId="718FBADC" w14:textId="77777777" w:rsidR="001707A9" w:rsidRPr="00F34E8F" w:rsidRDefault="001707A9" w:rsidP="001707A9">
      <w:r>
        <w:rPr>
          <w:rFonts w:eastAsia="Times New Roman"/>
          <w:color w:val="000000"/>
        </w:rPr>
        <w:t xml:space="preserve">The </w:t>
      </w:r>
      <w:r w:rsidR="00CC0190">
        <w:rPr>
          <w:rFonts w:eastAsia="Times New Roman"/>
          <w:color w:val="000000"/>
        </w:rPr>
        <w:t xml:space="preserve">digital property </w:t>
      </w:r>
      <w:r w:rsidR="00F87ECF">
        <w:rPr>
          <w:rFonts w:eastAsia="Times New Roman"/>
          <w:color w:val="000000"/>
        </w:rPr>
        <w:t>changes made by House Bill 1079</w:t>
      </w:r>
      <w:r>
        <w:rPr>
          <w:rFonts w:eastAsia="Times New Roman"/>
          <w:color w:val="000000"/>
        </w:rPr>
        <w:t xml:space="preserve"> are effective retroactively to sales occurring on or after October 1, 2019, the effective date of the 2019 change to the definition of certain digital property.</w:t>
      </w:r>
      <w:r>
        <w:rPr>
          <w:rStyle w:val="FootnoteReference"/>
          <w:rFonts w:eastAsia="Times New Roman"/>
          <w:color w:val="000000"/>
        </w:rPr>
        <w:footnoteReference w:id="55"/>
      </w:r>
    </w:p>
    <w:p w14:paraId="320076CB" w14:textId="77777777" w:rsidR="008D199E" w:rsidRPr="008D199E" w:rsidRDefault="008D199E" w:rsidP="00F34E8F">
      <w:pPr>
        <w:rPr>
          <w:b/>
          <w:u w:val="single"/>
        </w:rPr>
      </w:pPr>
      <w:r w:rsidRPr="008D199E">
        <w:rPr>
          <w:b/>
          <w:u w:val="single"/>
        </w:rPr>
        <w:t>Incentives</w:t>
      </w:r>
    </w:p>
    <w:p w14:paraId="56DA20BD" w14:textId="77777777" w:rsidR="008D199E" w:rsidRDefault="002D174B" w:rsidP="00F34E8F">
      <w:r>
        <w:t xml:space="preserve">The state’s Jobs Development Investment Grant Program was scheduled to sunset on January 1, 2021. </w:t>
      </w:r>
      <w:r w:rsidR="00CC0190">
        <w:t>House Bill 1080</w:t>
      </w:r>
      <w:r>
        <w:t xml:space="preserve"> extends the sunset until January 1, 2030.</w:t>
      </w:r>
      <w:r>
        <w:rPr>
          <w:rStyle w:val="FootnoteReference"/>
        </w:rPr>
        <w:footnoteReference w:id="56"/>
      </w:r>
      <w:r>
        <w:t xml:space="preserve"> </w:t>
      </w:r>
    </w:p>
    <w:p w14:paraId="0926C815" w14:textId="77777777" w:rsidR="002D174B" w:rsidRDefault="002D174B" w:rsidP="00F34E8F">
      <w:pPr>
        <w:rPr>
          <w:b/>
          <w:u w:val="single"/>
        </w:rPr>
      </w:pPr>
      <w:r w:rsidRPr="002D174B">
        <w:rPr>
          <w:b/>
          <w:u w:val="single"/>
        </w:rPr>
        <w:t xml:space="preserve">Insurance </w:t>
      </w:r>
      <w:r w:rsidR="009A0992">
        <w:rPr>
          <w:b/>
          <w:u w:val="single"/>
        </w:rPr>
        <w:t>Tax Changes</w:t>
      </w:r>
    </w:p>
    <w:p w14:paraId="2FD683CE" w14:textId="77777777" w:rsidR="009A0992" w:rsidRPr="003A73C7" w:rsidRDefault="009A0992" w:rsidP="00F34E8F">
      <w:pPr>
        <w:rPr>
          <w:i/>
        </w:rPr>
      </w:pPr>
      <w:r w:rsidRPr="003A73C7">
        <w:rPr>
          <w:i/>
        </w:rPr>
        <w:t>Regulatory Charge</w:t>
      </w:r>
    </w:p>
    <w:p w14:paraId="538B35D3" w14:textId="77777777" w:rsidR="002D174B" w:rsidRDefault="002D174B" w:rsidP="00F34E8F">
      <w:r>
        <w:lastRenderedPageBreak/>
        <w:t xml:space="preserve">The insurance regulatory charge is an annual fee imposed on insurance companies to reimburse the state for the costs of regulating the industry. The fee is expressed as a percentage of an insurance company’s gross premiums tax liability. The rate is established by the General Assembly each year based on recommendations from the Department of Insurance. The rate has been 6.5% since 2015. </w:t>
      </w:r>
      <w:r w:rsidR="00CC0190">
        <w:t>House Bill 1080</w:t>
      </w:r>
      <w:r>
        <w:t xml:space="preserve"> sets the rate at 6.5% by statute</w:t>
      </w:r>
      <w:r w:rsidR="001C2850">
        <w:t>. As a result,</w:t>
      </w:r>
      <w:r>
        <w:t xml:space="preserve"> the legislature </w:t>
      </w:r>
      <w:r w:rsidR="00523BDB">
        <w:t>will not need to set the rate each year</w:t>
      </w:r>
      <w:r w:rsidR="001C2850">
        <w:t>,</w:t>
      </w:r>
      <w:r w:rsidR="00523BDB">
        <w:t xml:space="preserve"> and </w:t>
      </w:r>
      <w:r w:rsidR="001C2850">
        <w:t xml:space="preserve">the rate </w:t>
      </w:r>
      <w:r w:rsidR="00523BDB">
        <w:t>will remain at 6.5% until the Department of Insurance recommends a change.</w:t>
      </w:r>
      <w:r w:rsidR="00523BDB">
        <w:rPr>
          <w:rStyle w:val="FootnoteReference"/>
        </w:rPr>
        <w:footnoteReference w:id="57"/>
      </w:r>
      <w:r w:rsidR="00523BDB">
        <w:t xml:space="preserve"> </w:t>
      </w:r>
    </w:p>
    <w:p w14:paraId="1E9CBE24" w14:textId="77777777" w:rsidR="00CC0190" w:rsidRPr="003A73C7" w:rsidRDefault="009A0992" w:rsidP="00CC0190">
      <w:pPr>
        <w:rPr>
          <w:i/>
        </w:rPr>
      </w:pPr>
      <w:r w:rsidRPr="003A73C7">
        <w:rPr>
          <w:i/>
        </w:rPr>
        <w:t>Prepaid Health Plans</w:t>
      </w:r>
    </w:p>
    <w:p w14:paraId="7E37206C" w14:textId="77777777" w:rsidR="009A0992" w:rsidRDefault="009A0992" w:rsidP="00CC0190">
      <w:pPr>
        <w:rPr>
          <w:rFonts w:eastAsia="Times New Roman"/>
          <w:color w:val="000000"/>
        </w:rPr>
      </w:pPr>
      <w:r w:rsidRPr="00D57BFA">
        <w:rPr>
          <w:rFonts w:eastAsia="Times New Roman"/>
          <w:color w:val="000000"/>
        </w:rPr>
        <w:t>Senate Bill 808</w:t>
      </w:r>
      <w:r w:rsidR="00665267">
        <w:rPr>
          <w:rFonts w:eastAsia="Times New Roman"/>
          <w:color w:val="000000"/>
        </w:rPr>
        <w:t>, an omnibus health care measure,</w:t>
      </w:r>
      <w:r w:rsidRPr="00D57BFA">
        <w:rPr>
          <w:rFonts w:eastAsia="Times New Roman"/>
          <w:color w:val="000000"/>
        </w:rPr>
        <w:t xml:space="preserve"> </w:t>
      </w:r>
      <w:r w:rsidR="00CC0190">
        <w:rPr>
          <w:rFonts w:eastAsia="Times New Roman"/>
          <w:color w:val="000000"/>
        </w:rPr>
        <w:t xml:space="preserve">was </w:t>
      </w:r>
      <w:r w:rsidR="00665267">
        <w:rPr>
          <w:rFonts w:eastAsia="Times New Roman"/>
          <w:color w:val="000000"/>
        </w:rPr>
        <w:t xml:space="preserve">ratified </w:t>
      </w:r>
      <w:r w:rsidR="00CC0190">
        <w:rPr>
          <w:rFonts w:eastAsia="Times New Roman"/>
          <w:color w:val="000000"/>
        </w:rPr>
        <w:t>by the General Assembly on June 26</w:t>
      </w:r>
      <w:r w:rsidR="00CC0190" w:rsidRPr="00CC0190">
        <w:rPr>
          <w:rFonts w:eastAsia="Times New Roman"/>
          <w:color w:val="000000"/>
          <w:vertAlign w:val="superscript"/>
        </w:rPr>
        <w:t>th</w:t>
      </w:r>
      <w:r w:rsidR="00CC0190">
        <w:rPr>
          <w:rFonts w:eastAsia="Times New Roman"/>
          <w:color w:val="000000"/>
        </w:rPr>
        <w:t xml:space="preserve"> and presented to the Governor, who ha</w:t>
      </w:r>
      <w:r w:rsidR="00893EEC">
        <w:rPr>
          <w:rFonts w:eastAsia="Times New Roman"/>
          <w:color w:val="000000"/>
        </w:rPr>
        <w:t>d</w:t>
      </w:r>
      <w:r w:rsidR="00CC0190">
        <w:rPr>
          <w:rFonts w:eastAsia="Times New Roman"/>
          <w:color w:val="000000"/>
        </w:rPr>
        <w:t xml:space="preserve"> not acted on the bill as of the date of this Alert. The bill would </w:t>
      </w:r>
      <w:r w:rsidR="00893EEC">
        <w:rPr>
          <w:rFonts w:eastAsia="Times New Roman"/>
          <w:color w:val="000000"/>
        </w:rPr>
        <w:t xml:space="preserve">subject prepaid health plans to </w:t>
      </w:r>
      <w:r>
        <w:rPr>
          <w:rFonts w:eastAsia="Times New Roman"/>
          <w:color w:val="000000"/>
        </w:rPr>
        <w:t xml:space="preserve">the insurance company gross premiums tax </w:t>
      </w:r>
      <w:r w:rsidR="00893EEC">
        <w:rPr>
          <w:rFonts w:eastAsia="Times New Roman"/>
          <w:color w:val="000000"/>
        </w:rPr>
        <w:t xml:space="preserve">(at the rate of 1.9%) </w:t>
      </w:r>
      <w:r>
        <w:rPr>
          <w:rFonts w:eastAsia="Times New Roman"/>
          <w:color w:val="000000"/>
        </w:rPr>
        <w:t xml:space="preserve">and the insurance regulatory charge. The base on which the gross premiums tax </w:t>
      </w:r>
      <w:r w:rsidR="00CC0190">
        <w:rPr>
          <w:rFonts w:eastAsia="Times New Roman"/>
          <w:color w:val="000000"/>
        </w:rPr>
        <w:t xml:space="preserve">would be </w:t>
      </w:r>
      <w:r>
        <w:rPr>
          <w:rFonts w:eastAsia="Times New Roman"/>
          <w:color w:val="000000"/>
        </w:rPr>
        <w:t xml:space="preserve">applied </w:t>
      </w:r>
      <w:r w:rsidR="00CC0190">
        <w:rPr>
          <w:rFonts w:eastAsia="Times New Roman"/>
          <w:color w:val="000000"/>
        </w:rPr>
        <w:t>would</w:t>
      </w:r>
      <w:r>
        <w:rPr>
          <w:rFonts w:eastAsia="Times New Roman"/>
          <w:color w:val="000000"/>
        </w:rPr>
        <w:t xml:space="preserve"> include a prepaid health plan’s capitation payments, defined as amounts received from the Department of Health and Human Services for the delivery of Medicaid and NC Health Choice services. Capitation payments refunded by to the state </w:t>
      </w:r>
      <w:r w:rsidR="00CC0190">
        <w:rPr>
          <w:rFonts w:eastAsia="Times New Roman"/>
          <w:color w:val="000000"/>
        </w:rPr>
        <w:t xml:space="preserve">would be </w:t>
      </w:r>
      <w:r>
        <w:rPr>
          <w:rFonts w:eastAsia="Times New Roman"/>
          <w:color w:val="000000"/>
        </w:rPr>
        <w:t>allowed as a deduction.</w:t>
      </w:r>
      <w:r>
        <w:rPr>
          <w:rStyle w:val="FootnoteReference"/>
          <w:rFonts w:eastAsia="Times New Roman"/>
          <w:color w:val="000000"/>
        </w:rPr>
        <w:footnoteReference w:id="58"/>
      </w:r>
      <w:r w:rsidR="006D0DAA">
        <w:rPr>
          <w:rFonts w:eastAsia="Times New Roman"/>
          <w:color w:val="000000"/>
        </w:rPr>
        <w:t xml:space="preserve"> These changes </w:t>
      </w:r>
      <w:r w:rsidR="00CC0190">
        <w:rPr>
          <w:rFonts w:eastAsia="Times New Roman"/>
          <w:color w:val="000000"/>
        </w:rPr>
        <w:t xml:space="preserve">would </w:t>
      </w:r>
      <w:r w:rsidR="006D0DAA">
        <w:rPr>
          <w:rFonts w:eastAsia="Times New Roman"/>
          <w:color w:val="000000"/>
        </w:rPr>
        <w:t xml:space="preserve">become effective thirty days after the bill becomes law and </w:t>
      </w:r>
      <w:r w:rsidR="00CC0190">
        <w:rPr>
          <w:rFonts w:eastAsia="Times New Roman"/>
          <w:color w:val="000000"/>
        </w:rPr>
        <w:t>would apply</w:t>
      </w:r>
      <w:r w:rsidR="006D0DAA">
        <w:rPr>
          <w:rFonts w:eastAsia="Times New Roman"/>
          <w:color w:val="000000"/>
        </w:rPr>
        <w:t xml:space="preserve"> to capitation payments received after that date.</w:t>
      </w:r>
      <w:r w:rsidR="006D0DAA">
        <w:rPr>
          <w:rStyle w:val="FootnoteReference"/>
          <w:rFonts w:eastAsia="Times New Roman"/>
          <w:color w:val="000000"/>
        </w:rPr>
        <w:footnoteReference w:id="59"/>
      </w:r>
    </w:p>
    <w:p w14:paraId="23E3DC07" w14:textId="77777777" w:rsidR="001707A9" w:rsidRPr="001707A9" w:rsidRDefault="001707A9" w:rsidP="001707A9">
      <w:pPr>
        <w:spacing w:before="280" w:line="276" w:lineRule="exact"/>
        <w:jc w:val="both"/>
        <w:textAlignment w:val="baseline"/>
        <w:rPr>
          <w:rFonts w:cs="Times New Roman"/>
          <w:b/>
          <w:szCs w:val="24"/>
          <w:u w:val="single"/>
        </w:rPr>
      </w:pPr>
      <w:r w:rsidRPr="001707A9">
        <w:rPr>
          <w:rFonts w:cs="Times New Roman"/>
          <w:b/>
          <w:szCs w:val="24"/>
          <w:u w:val="single"/>
        </w:rPr>
        <w:t>Property Tax</w:t>
      </w:r>
      <w:r w:rsidR="009D5A32">
        <w:rPr>
          <w:rFonts w:cs="Times New Roman"/>
          <w:b/>
          <w:szCs w:val="24"/>
          <w:u w:val="single"/>
        </w:rPr>
        <w:t xml:space="preserve"> Changes</w:t>
      </w:r>
    </w:p>
    <w:p w14:paraId="777CB7B4" w14:textId="77777777" w:rsidR="001707A9" w:rsidRPr="003A73C7" w:rsidRDefault="001707A9" w:rsidP="001707A9">
      <w:pPr>
        <w:spacing w:before="280" w:line="276" w:lineRule="exact"/>
        <w:jc w:val="both"/>
        <w:textAlignment w:val="baseline"/>
        <w:rPr>
          <w:rFonts w:cs="Times New Roman"/>
          <w:i/>
          <w:szCs w:val="24"/>
        </w:rPr>
      </w:pPr>
      <w:r w:rsidRPr="003A73C7">
        <w:rPr>
          <w:rFonts w:cs="Times New Roman"/>
          <w:i/>
          <w:szCs w:val="24"/>
        </w:rPr>
        <w:t>Present</w:t>
      </w:r>
      <w:r w:rsidR="00893EEC">
        <w:rPr>
          <w:rFonts w:cs="Times New Roman"/>
          <w:i/>
          <w:szCs w:val="24"/>
        </w:rPr>
        <w:t>-u</w:t>
      </w:r>
      <w:r w:rsidRPr="003A73C7">
        <w:rPr>
          <w:rFonts w:cs="Times New Roman"/>
          <w:i/>
          <w:szCs w:val="24"/>
        </w:rPr>
        <w:t>se Valuation</w:t>
      </w:r>
    </w:p>
    <w:p w14:paraId="06A07951" w14:textId="77777777" w:rsidR="001707A9" w:rsidRDefault="001707A9" w:rsidP="00F87ECF">
      <w:pPr>
        <w:spacing w:before="280" w:line="276" w:lineRule="exact"/>
        <w:textAlignment w:val="baseline"/>
        <w:rPr>
          <w:rFonts w:eastAsia="Times New Roman"/>
          <w:color w:val="000000"/>
          <w:spacing w:val="1"/>
        </w:rPr>
      </w:pPr>
      <w:r>
        <w:rPr>
          <w:rFonts w:cs="Times New Roman"/>
          <w:szCs w:val="24"/>
        </w:rPr>
        <w:t>Senate Bill 315</w:t>
      </w:r>
      <w:r w:rsidR="00665267">
        <w:rPr>
          <w:rFonts w:cs="Times New Roman"/>
          <w:szCs w:val="24"/>
        </w:rPr>
        <w:t>,</w:t>
      </w:r>
      <w:r>
        <w:rPr>
          <w:rStyle w:val="FootnoteReference"/>
          <w:rFonts w:cs="Times New Roman"/>
          <w:szCs w:val="24"/>
        </w:rPr>
        <w:footnoteReference w:id="60"/>
      </w:r>
      <w:r>
        <w:rPr>
          <w:rFonts w:cs="Times New Roman"/>
          <w:szCs w:val="24"/>
        </w:rPr>
        <w:t xml:space="preserve"> </w:t>
      </w:r>
      <w:r w:rsidR="00665267">
        <w:rPr>
          <w:rFonts w:cs="Times New Roman"/>
          <w:szCs w:val="24"/>
        </w:rPr>
        <w:t>the annual farm bill, was ratified on June 8</w:t>
      </w:r>
      <w:r w:rsidR="00665267" w:rsidRPr="00665267">
        <w:rPr>
          <w:rFonts w:cs="Times New Roman"/>
          <w:szCs w:val="24"/>
          <w:vertAlign w:val="superscript"/>
        </w:rPr>
        <w:t>th</w:t>
      </w:r>
      <w:r w:rsidR="00665267">
        <w:rPr>
          <w:rFonts w:cs="Times New Roman"/>
          <w:szCs w:val="24"/>
        </w:rPr>
        <w:t xml:space="preserve"> and signed by the Governor on June 12</w:t>
      </w:r>
      <w:r w:rsidR="00665267" w:rsidRPr="00665267">
        <w:rPr>
          <w:rFonts w:cs="Times New Roman"/>
          <w:szCs w:val="24"/>
          <w:vertAlign w:val="superscript"/>
        </w:rPr>
        <w:t>th</w:t>
      </w:r>
      <w:r w:rsidR="00665267">
        <w:rPr>
          <w:rFonts w:cs="Times New Roman"/>
          <w:szCs w:val="24"/>
        </w:rPr>
        <w:t xml:space="preserve">. The bill </w:t>
      </w:r>
      <w:r>
        <w:rPr>
          <w:rFonts w:cs="Times New Roman"/>
          <w:szCs w:val="24"/>
        </w:rPr>
        <w:t>include</w:t>
      </w:r>
      <w:r w:rsidR="00665267">
        <w:rPr>
          <w:rFonts w:cs="Times New Roman"/>
          <w:szCs w:val="24"/>
        </w:rPr>
        <w:t>s</w:t>
      </w:r>
      <w:r>
        <w:rPr>
          <w:rFonts w:cs="Times New Roman"/>
          <w:szCs w:val="24"/>
        </w:rPr>
        <w:t xml:space="preserve"> a change to the present</w:t>
      </w:r>
      <w:r w:rsidR="00893EEC">
        <w:rPr>
          <w:rFonts w:cs="Times New Roman"/>
          <w:szCs w:val="24"/>
        </w:rPr>
        <w:t>-</w:t>
      </w:r>
      <w:r>
        <w:rPr>
          <w:rFonts w:cs="Times New Roman"/>
          <w:szCs w:val="24"/>
        </w:rPr>
        <w:t>use valuation program for agricultural</w:t>
      </w:r>
      <w:r w:rsidR="00893EEC">
        <w:rPr>
          <w:rFonts w:cs="Times New Roman"/>
          <w:szCs w:val="24"/>
        </w:rPr>
        <w:t xml:space="preserve"> land</w:t>
      </w:r>
      <w:r>
        <w:rPr>
          <w:rFonts w:cs="Times New Roman"/>
          <w:szCs w:val="24"/>
        </w:rPr>
        <w:t xml:space="preserve">, horticultural </w:t>
      </w:r>
      <w:r w:rsidR="00893EEC">
        <w:rPr>
          <w:rFonts w:cs="Times New Roman"/>
          <w:szCs w:val="24"/>
        </w:rPr>
        <w:t xml:space="preserve">land </w:t>
      </w:r>
      <w:r>
        <w:rPr>
          <w:rFonts w:cs="Times New Roman"/>
          <w:szCs w:val="24"/>
        </w:rPr>
        <w:t xml:space="preserve">and forestland. Specifically, the bill provides that </w:t>
      </w:r>
      <w:r>
        <w:rPr>
          <w:rFonts w:eastAsia="Times New Roman"/>
          <w:color w:val="000000"/>
          <w:spacing w:val="1"/>
        </w:rPr>
        <w:t>if a county assessor determines that a property has lost its eligibility for present-use value classification (other than because of a failure to file an application following a transfer of the property), the assessor must provide the taxpayer a written notice of his decision. The taxpayer may appeal the decision within 60 days after the date of the written notice. However, the taxpayer would not be required to file appeals for subsequent tax years while the original appeal is outstanding. If the taxpayer’s appeal is successful, the property</w:t>
      </w:r>
      <w:r w:rsidR="00893EEC">
        <w:rPr>
          <w:rFonts w:eastAsia="Times New Roman"/>
          <w:color w:val="000000"/>
          <w:spacing w:val="1"/>
        </w:rPr>
        <w:t>’</w:t>
      </w:r>
      <w:r>
        <w:rPr>
          <w:rFonts w:eastAsia="Times New Roman"/>
          <w:color w:val="000000"/>
          <w:spacing w:val="1"/>
        </w:rPr>
        <w:t xml:space="preserve">s present-use value classification </w:t>
      </w:r>
      <w:r w:rsidR="00893EEC">
        <w:rPr>
          <w:rFonts w:eastAsia="Times New Roman"/>
          <w:color w:val="000000"/>
          <w:spacing w:val="1"/>
        </w:rPr>
        <w:t xml:space="preserve">would be </w:t>
      </w:r>
      <w:r>
        <w:rPr>
          <w:rFonts w:eastAsia="Times New Roman"/>
          <w:color w:val="000000"/>
          <w:spacing w:val="1"/>
        </w:rPr>
        <w:t>reinstated retroactive to the date the classification was revoked. If, while the appeal is pending, the assessor determines that the property ceases to qualify for present</w:t>
      </w:r>
      <w:r w:rsidR="00893EEC">
        <w:rPr>
          <w:rFonts w:eastAsia="Times New Roman"/>
          <w:color w:val="000000"/>
          <w:spacing w:val="1"/>
        </w:rPr>
        <w:t>-</w:t>
      </w:r>
      <w:r>
        <w:rPr>
          <w:rFonts w:eastAsia="Times New Roman"/>
          <w:color w:val="000000"/>
          <w:spacing w:val="1"/>
        </w:rPr>
        <w:t xml:space="preserve">use value classification because of some other disqualifying event, the assessor </w:t>
      </w:r>
      <w:r w:rsidR="00893EEC">
        <w:rPr>
          <w:rFonts w:eastAsia="Times New Roman"/>
          <w:color w:val="000000"/>
          <w:spacing w:val="1"/>
        </w:rPr>
        <w:t>must</w:t>
      </w:r>
      <w:r>
        <w:rPr>
          <w:rFonts w:eastAsia="Times New Roman"/>
          <w:color w:val="000000"/>
          <w:spacing w:val="1"/>
        </w:rPr>
        <w:t xml:space="preserve"> provide a new written notice to the taxpayer.</w:t>
      </w:r>
      <w:r>
        <w:rPr>
          <w:rStyle w:val="FootnoteReference"/>
          <w:rFonts w:eastAsia="Times New Roman"/>
          <w:color w:val="000000"/>
          <w:spacing w:val="1"/>
        </w:rPr>
        <w:footnoteReference w:id="61"/>
      </w:r>
      <w:r>
        <w:rPr>
          <w:rFonts w:eastAsia="Times New Roman"/>
          <w:color w:val="000000"/>
          <w:spacing w:val="1"/>
        </w:rPr>
        <w:t xml:space="preserve"> This provision is effective Jun 8, 2020.</w:t>
      </w:r>
      <w:r>
        <w:rPr>
          <w:rStyle w:val="FootnoteReference"/>
          <w:rFonts w:eastAsia="Times New Roman"/>
          <w:color w:val="000000"/>
          <w:spacing w:val="1"/>
        </w:rPr>
        <w:footnoteReference w:id="62"/>
      </w:r>
      <w:r>
        <w:rPr>
          <w:rFonts w:eastAsia="Times New Roman"/>
          <w:color w:val="000000"/>
          <w:spacing w:val="1"/>
        </w:rPr>
        <w:t xml:space="preserve"> For an example of the kind of situation this amendment </w:t>
      </w:r>
      <w:r w:rsidR="00893EEC">
        <w:rPr>
          <w:rFonts w:eastAsia="Times New Roman"/>
          <w:color w:val="000000"/>
          <w:spacing w:val="1"/>
        </w:rPr>
        <w:t>wa</w:t>
      </w:r>
      <w:r>
        <w:rPr>
          <w:rFonts w:eastAsia="Times New Roman"/>
          <w:color w:val="000000"/>
          <w:spacing w:val="1"/>
        </w:rPr>
        <w:t xml:space="preserve">s designed to avoid, see the North Carolina Court of Appeals decision in </w:t>
      </w:r>
      <w:r w:rsidRPr="00EB2751">
        <w:rPr>
          <w:rFonts w:eastAsia="Times New Roman"/>
          <w:i/>
          <w:color w:val="000000"/>
          <w:spacing w:val="1"/>
        </w:rPr>
        <w:t>Miller v. Graham County</w:t>
      </w:r>
      <w:r>
        <w:rPr>
          <w:rFonts w:eastAsia="Times New Roman"/>
          <w:color w:val="000000"/>
          <w:spacing w:val="1"/>
        </w:rPr>
        <w:t>.</w:t>
      </w:r>
      <w:r>
        <w:rPr>
          <w:rStyle w:val="FootnoteReference"/>
          <w:rFonts w:eastAsia="Times New Roman"/>
          <w:color w:val="000000"/>
          <w:spacing w:val="1"/>
        </w:rPr>
        <w:footnoteReference w:id="63"/>
      </w:r>
      <w:r>
        <w:rPr>
          <w:rFonts w:eastAsia="Times New Roman"/>
          <w:color w:val="000000"/>
          <w:spacing w:val="1"/>
        </w:rPr>
        <w:t xml:space="preserve"> </w:t>
      </w:r>
    </w:p>
    <w:p w14:paraId="555AD4E4" w14:textId="77777777" w:rsidR="00665267" w:rsidRPr="003A73C7" w:rsidRDefault="00665267" w:rsidP="00665267">
      <w:pPr>
        <w:rPr>
          <w:i/>
        </w:rPr>
      </w:pPr>
      <w:r w:rsidRPr="003A73C7">
        <w:rPr>
          <w:i/>
        </w:rPr>
        <w:lastRenderedPageBreak/>
        <w:t>Property Tax Liens for SUTA Contributions</w:t>
      </w:r>
    </w:p>
    <w:p w14:paraId="18A61F13" w14:textId="77777777" w:rsidR="00665267" w:rsidRDefault="00665267" w:rsidP="00665267">
      <w:pPr>
        <w:shd w:val="clear" w:color="auto" w:fill="FFFFFF"/>
        <w:spacing w:after="240"/>
        <w:rPr>
          <w:rFonts w:cs="Times New Roman"/>
          <w:color w:val="333333"/>
          <w:szCs w:val="24"/>
        </w:rPr>
      </w:pPr>
      <w:r w:rsidRPr="008B2FD1">
        <w:rPr>
          <w:rFonts w:cs="Times New Roman"/>
          <w:color w:val="333333"/>
          <w:szCs w:val="24"/>
        </w:rPr>
        <w:t xml:space="preserve">The Division of Employment Security </w:t>
      </w:r>
      <w:r w:rsidR="00893EEC">
        <w:rPr>
          <w:rFonts w:cs="Times New Roman"/>
          <w:color w:val="333333"/>
          <w:szCs w:val="24"/>
        </w:rPr>
        <w:t>can collect</w:t>
      </w:r>
      <w:r w:rsidRPr="008B2FD1">
        <w:rPr>
          <w:rFonts w:cs="Times New Roman"/>
          <w:color w:val="333333"/>
          <w:szCs w:val="24"/>
        </w:rPr>
        <w:t xml:space="preserve"> a delinquent SUTA contribution </w:t>
      </w:r>
      <w:r w:rsidR="00893EEC">
        <w:rPr>
          <w:rFonts w:cs="Times New Roman"/>
          <w:color w:val="333333"/>
          <w:szCs w:val="24"/>
        </w:rPr>
        <w:t xml:space="preserve">from an employer </w:t>
      </w:r>
      <w:r w:rsidRPr="008B2FD1">
        <w:rPr>
          <w:rFonts w:cs="Times New Roman"/>
          <w:color w:val="333333"/>
          <w:szCs w:val="24"/>
        </w:rPr>
        <w:t>by placing a lien on the employer’s property. The priority of liens, including tax liens, generally is determined by when the</w:t>
      </w:r>
      <w:r w:rsidR="00893EEC">
        <w:rPr>
          <w:rFonts w:cs="Times New Roman"/>
          <w:color w:val="333333"/>
          <w:szCs w:val="24"/>
        </w:rPr>
        <w:t xml:space="preserve"> liens</w:t>
      </w:r>
      <w:r w:rsidRPr="008B2FD1">
        <w:rPr>
          <w:rFonts w:cs="Times New Roman"/>
          <w:color w:val="333333"/>
          <w:szCs w:val="24"/>
        </w:rPr>
        <w:t xml:space="preserve"> were recorded. A special rule, however, provides that property tax liens on real property take priority over previously recorded liens except for previously recorded liens for </w:t>
      </w:r>
      <w:r w:rsidR="00893EEC">
        <w:rPr>
          <w:rFonts w:cs="Times New Roman"/>
          <w:color w:val="333333"/>
          <w:szCs w:val="24"/>
        </w:rPr>
        <w:t>“</w:t>
      </w:r>
      <w:r w:rsidRPr="008B2FD1">
        <w:rPr>
          <w:rFonts w:cs="Times New Roman"/>
          <w:color w:val="333333"/>
          <w:szCs w:val="24"/>
        </w:rPr>
        <w:t>state taxes.</w:t>
      </w:r>
      <w:r w:rsidR="00893EEC">
        <w:rPr>
          <w:rFonts w:cs="Times New Roman"/>
          <w:color w:val="333333"/>
          <w:szCs w:val="24"/>
        </w:rPr>
        <w:t>”</w:t>
      </w:r>
      <w:r>
        <w:rPr>
          <w:rStyle w:val="FootnoteReference"/>
          <w:rFonts w:cs="Times New Roman"/>
          <w:color w:val="333333"/>
          <w:szCs w:val="24"/>
        </w:rPr>
        <w:footnoteReference w:id="64"/>
      </w:r>
      <w:r w:rsidRPr="008B2FD1">
        <w:rPr>
          <w:rFonts w:cs="Times New Roman"/>
          <w:color w:val="333333"/>
          <w:szCs w:val="24"/>
        </w:rPr>
        <w:t> Senate Bill 704</w:t>
      </w:r>
      <w:r>
        <w:rPr>
          <w:rFonts w:cs="Times New Roman"/>
          <w:color w:val="333333"/>
          <w:szCs w:val="24"/>
        </w:rPr>
        <w:t>, the COVID-19 Recovery Act, which the Governor signed on May 4, 2020,</w:t>
      </w:r>
      <w:r w:rsidRPr="008B2FD1">
        <w:rPr>
          <w:rFonts w:cs="Times New Roman"/>
          <w:color w:val="333333"/>
          <w:szCs w:val="24"/>
        </w:rPr>
        <w:t xml:space="preserve"> clarifies that SUTA contributions are </w:t>
      </w:r>
      <w:r w:rsidR="00893EEC">
        <w:rPr>
          <w:rFonts w:cs="Times New Roman"/>
          <w:color w:val="333333"/>
          <w:szCs w:val="24"/>
        </w:rPr>
        <w:t>“</w:t>
      </w:r>
      <w:r w:rsidRPr="008B2FD1">
        <w:rPr>
          <w:rFonts w:cs="Times New Roman"/>
          <w:color w:val="333333"/>
          <w:szCs w:val="24"/>
        </w:rPr>
        <w:t>state taxes</w:t>
      </w:r>
      <w:r w:rsidR="00893EEC">
        <w:rPr>
          <w:rFonts w:cs="Times New Roman"/>
          <w:color w:val="333333"/>
          <w:szCs w:val="24"/>
        </w:rPr>
        <w:t>.”</w:t>
      </w:r>
      <w:r w:rsidRPr="008B2FD1">
        <w:rPr>
          <w:rFonts w:cs="Times New Roman"/>
          <w:color w:val="333333"/>
          <w:szCs w:val="24"/>
        </w:rPr>
        <w:t xml:space="preserve"> </w:t>
      </w:r>
      <w:r w:rsidR="00893EEC">
        <w:rPr>
          <w:rFonts w:cs="Times New Roman"/>
          <w:color w:val="333333"/>
          <w:szCs w:val="24"/>
        </w:rPr>
        <w:t>As a result,</w:t>
      </w:r>
      <w:r w:rsidRPr="008B2FD1">
        <w:rPr>
          <w:rFonts w:cs="Times New Roman"/>
          <w:color w:val="333333"/>
          <w:szCs w:val="24"/>
        </w:rPr>
        <w:t xml:space="preserve"> property tax liens on real property do not take priority over previously filed liens for delinquent SUTA contributions.</w:t>
      </w:r>
      <w:r>
        <w:rPr>
          <w:rStyle w:val="FootnoteReference"/>
          <w:rFonts w:cs="Times New Roman"/>
          <w:color w:val="333333"/>
          <w:szCs w:val="24"/>
        </w:rPr>
        <w:footnoteReference w:id="65"/>
      </w:r>
      <w:r w:rsidRPr="008B2FD1">
        <w:rPr>
          <w:rFonts w:cs="Times New Roman"/>
          <w:color w:val="333333"/>
          <w:szCs w:val="24"/>
        </w:rPr>
        <w:t> </w:t>
      </w:r>
    </w:p>
    <w:p w14:paraId="3802D320" w14:textId="77777777" w:rsidR="00665267" w:rsidRPr="00665267" w:rsidRDefault="00665267" w:rsidP="00665267">
      <w:pPr>
        <w:shd w:val="clear" w:color="auto" w:fill="FFFFFF"/>
        <w:spacing w:after="240"/>
        <w:rPr>
          <w:rFonts w:cs="Times New Roman"/>
          <w:b/>
          <w:color w:val="333333"/>
          <w:szCs w:val="24"/>
          <w:u w:val="single"/>
        </w:rPr>
      </w:pPr>
      <w:r w:rsidRPr="00665267">
        <w:rPr>
          <w:rFonts w:cs="Times New Roman"/>
          <w:b/>
          <w:color w:val="333333"/>
          <w:szCs w:val="24"/>
          <w:u w:val="single"/>
        </w:rPr>
        <w:t>Motor Fuels Tax Changes</w:t>
      </w:r>
    </w:p>
    <w:p w14:paraId="5F6A4771" w14:textId="77777777" w:rsidR="00665267" w:rsidRDefault="00665267" w:rsidP="00665267">
      <w:pPr>
        <w:rPr>
          <w:rFonts w:eastAsia="Times New Roman"/>
          <w:b/>
          <w:color w:val="000000"/>
          <w:spacing w:val="1"/>
        </w:rPr>
      </w:pPr>
      <w:r>
        <w:t>House Bill 77, the annual Department of Transportation bill, was ratified and presented to the Governor on June 25, 2020. As of the date of this Alert, the Governor has taken no action on the bill. The bill provides a minimum motor fuel excise tax rate for 2021. The motor fuel excise tax rate is generally calculated by multiplying the rate in effect during the previous year by a percentage determined by reference to changes in the state’s population and the rate of inflation. The bill provides that notwithstanding this statutory formula, the rate for 2021 would not be less than $0.361 per gallon.</w:t>
      </w:r>
      <w:r>
        <w:rPr>
          <w:rStyle w:val="FootnoteReference"/>
        </w:rPr>
        <w:footnoteReference w:id="66"/>
      </w:r>
    </w:p>
    <w:p w14:paraId="0B43AB92" w14:textId="77777777" w:rsidR="00F34E8F" w:rsidRPr="007B7933" w:rsidRDefault="00F34E8F" w:rsidP="00F34E8F">
      <w:pPr>
        <w:rPr>
          <w:b/>
          <w:bCs/>
          <w:u w:val="single"/>
        </w:rPr>
      </w:pPr>
      <w:r w:rsidRPr="007B7933">
        <w:rPr>
          <w:b/>
          <w:bCs/>
          <w:u w:val="single"/>
        </w:rPr>
        <w:t>Administrative Changes</w:t>
      </w:r>
    </w:p>
    <w:p w14:paraId="3E19BAA2" w14:textId="77777777" w:rsidR="00523BDB" w:rsidRPr="003A73C7" w:rsidRDefault="00523BDB" w:rsidP="00F34E8F">
      <w:pPr>
        <w:rPr>
          <w:bCs/>
          <w:i/>
        </w:rPr>
      </w:pPr>
      <w:r w:rsidRPr="003A73C7">
        <w:rPr>
          <w:bCs/>
          <w:i/>
        </w:rPr>
        <w:t>Power of Attorney</w:t>
      </w:r>
      <w:r w:rsidR="00027AD6" w:rsidRPr="003A73C7">
        <w:rPr>
          <w:bCs/>
          <w:i/>
        </w:rPr>
        <w:t xml:space="preserve"> Database</w:t>
      </w:r>
    </w:p>
    <w:p w14:paraId="7C19B456" w14:textId="77777777" w:rsidR="00523BDB" w:rsidRDefault="00523BDB" w:rsidP="00F34E8F">
      <w:pPr>
        <w:rPr>
          <w:b/>
          <w:bCs/>
        </w:rPr>
      </w:pPr>
      <w:r>
        <w:rPr>
          <w:color w:val="000000"/>
        </w:rPr>
        <w:t>In 2019, the General Assembly directed the Department to update its electronic systems to store and recognize power of attorney registrations</w:t>
      </w:r>
      <w:r w:rsidR="00893EEC">
        <w:rPr>
          <w:color w:val="000000"/>
        </w:rPr>
        <w:t>. This was intended</w:t>
      </w:r>
      <w:r>
        <w:rPr>
          <w:color w:val="000000"/>
        </w:rPr>
        <w:t xml:space="preserve"> to ensure that notices to taxpayers were simultaneously sent to taxpayer representative</w:t>
      </w:r>
      <w:r w:rsidR="00893EEC">
        <w:rPr>
          <w:color w:val="000000"/>
        </w:rPr>
        <w:t>s</w:t>
      </w:r>
      <w:r>
        <w:rPr>
          <w:color w:val="000000"/>
        </w:rPr>
        <w:t>.</w:t>
      </w:r>
      <w:r>
        <w:rPr>
          <w:rStyle w:val="FootnoteReference"/>
          <w:color w:val="000000"/>
        </w:rPr>
        <w:footnoteReference w:id="67"/>
      </w:r>
      <w:r>
        <w:rPr>
          <w:color w:val="000000"/>
        </w:rPr>
        <w:t xml:space="preserve"> </w:t>
      </w:r>
      <w:r w:rsidR="00665267">
        <w:rPr>
          <w:color w:val="000000"/>
        </w:rPr>
        <w:t>House Bill 1080</w:t>
      </w:r>
      <w:r>
        <w:rPr>
          <w:color w:val="000000"/>
        </w:rPr>
        <w:t xml:space="preserve"> </w:t>
      </w:r>
      <w:r w:rsidR="00027AD6">
        <w:rPr>
          <w:color w:val="000000"/>
        </w:rPr>
        <w:t xml:space="preserve">authorizes the Department to use up to $500,000 of collection assistance fees generated in </w:t>
      </w:r>
      <w:r w:rsidR="00893EEC">
        <w:rPr>
          <w:color w:val="000000"/>
        </w:rPr>
        <w:t xml:space="preserve">the </w:t>
      </w:r>
      <w:r w:rsidR="00027AD6">
        <w:rPr>
          <w:color w:val="000000"/>
        </w:rPr>
        <w:t>2020-2021 fiscal year to implement this project.</w:t>
      </w:r>
      <w:r w:rsidR="00027AD6">
        <w:rPr>
          <w:rStyle w:val="FootnoteReference"/>
          <w:color w:val="000000"/>
        </w:rPr>
        <w:footnoteReference w:id="68"/>
      </w:r>
    </w:p>
    <w:p w14:paraId="01283F22" w14:textId="77777777" w:rsidR="00F34E8F" w:rsidRPr="003A73C7" w:rsidRDefault="00F34E8F" w:rsidP="00F34E8F">
      <w:pPr>
        <w:rPr>
          <w:i/>
        </w:rPr>
      </w:pPr>
      <w:r w:rsidRPr="003A73C7">
        <w:rPr>
          <w:bCs/>
          <w:i/>
        </w:rPr>
        <w:t xml:space="preserve">Confidentiality of Tax Information </w:t>
      </w:r>
    </w:p>
    <w:p w14:paraId="000AA072" w14:textId="77777777" w:rsidR="00F34E8F" w:rsidRPr="00F34E8F" w:rsidRDefault="00F34E8F" w:rsidP="00F34E8F">
      <w:r w:rsidRPr="00F34E8F">
        <w:t xml:space="preserve">The Secretary is authorized to assign the responsibility and jurisdiction to enforce certain criminal tax provisions to employees of the Department’s Tax Enforcement Division. </w:t>
      </w:r>
      <w:r w:rsidR="00665267">
        <w:t>House Bill 1080</w:t>
      </w:r>
      <w:r w:rsidRPr="00F34E8F">
        <w:t xml:space="preserve"> expand</w:t>
      </w:r>
      <w:r w:rsidR="007B7933">
        <w:t>s</w:t>
      </w:r>
      <w:r w:rsidRPr="00F34E8F">
        <w:t xml:space="preserve"> the list of these criminal tax provisions to include violations by state officials of the duty to maintain the confidentiality of tax information, which are Class I misdemeanors.</w:t>
      </w:r>
      <w:bookmarkStart w:id="37" w:name="_ftnref39"/>
      <w:r w:rsidR="003F01C0">
        <w:rPr>
          <w:rStyle w:val="FootnoteReference"/>
        </w:rPr>
        <w:footnoteReference w:id="69"/>
      </w:r>
      <w:bookmarkEnd w:id="37"/>
      <w:r w:rsidRPr="00F34E8F">
        <w:t xml:space="preserve"> </w:t>
      </w:r>
    </w:p>
    <w:p w14:paraId="32B9E585" w14:textId="77777777" w:rsidR="00F34E8F" w:rsidRPr="003A73C7" w:rsidRDefault="00F34E8F" w:rsidP="00F34E8F">
      <w:pPr>
        <w:rPr>
          <w:bCs/>
          <w:i/>
        </w:rPr>
      </w:pPr>
      <w:r w:rsidRPr="003A73C7">
        <w:rPr>
          <w:bCs/>
          <w:i/>
        </w:rPr>
        <w:t>Trust Fund Taxes</w:t>
      </w:r>
    </w:p>
    <w:p w14:paraId="20A6F5D2" w14:textId="77777777" w:rsidR="00665267" w:rsidRPr="00665267" w:rsidRDefault="00665267" w:rsidP="00F34E8F">
      <w:r w:rsidRPr="00665267">
        <w:rPr>
          <w:bCs/>
        </w:rPr>
        <w:t xml:space="preserve">House Bill 1080 </w:t>
      </w:r>
      <w:r>
        <w:rPr>
          <w:bCs/>
        </w:rPr>
        <w:t>makes two trust fund tax changes.</w:t>
      </w:r>
    </w:p>
    <w:p w14:paraId="40314621" w14:textId="77777777" w:rsidR="00F34E8F" w:rsidRPr="00F34E8F" w:rsidRDefault="00F34E8F" w:rsidP="00F34E8F">
      <w:pPr>
        <w:numPr>
          <w:ilvl w:val="0"/>
          <w:numId w:val="4"/>
        </w:numPr>
      </w:pPr>
      <w:r w:rsidRPr="00F34E8F">
        <w:rPr>
          <w:u w:val="single"/>
        </w:rPr>
        <w:t>Statute of Limitations</w:t>
      </w:r>
      <w:r w:rsidRPr="00F34E8F">
        <w:t xml:space="preserve">: Under current law, where a taxpayer collects but fails to remit sales taxes, withheld income taxes or other trust fund taxes, the Department must assess the tax within the normal three-year limitation period unless it can prove a fraudulent </w:t>
      </w:r>
      <w:r w:rsidRPr="00F34E8F">
        <w:lastRenderedPageBreak/>
        <w:t>intent to evade tax</w:t>
      </w:r>
      <w:r w:rsidR="00893EEC">
        <w:t>, in which case no statute of limitation applies</w:t>
      </w:r>
      <w:r w:rsidRPr="00F34E8F">
        <w:t xml:space="preserve">. Because fraud can be difficult to prove, the bill </w:t>
      </w:r>
      <w:r w:rsidR="00007361">
        <w:t>provide</w:t>
      </w:r>
      <w:r w:rsidR="007B7933">
        <w:t>s</w:t>
      </w:r>
      <w:r w:rsidR="00007361">
        <w:t xml:space="preserve"> that the period for proposing an assessment of trust fund taxes </w:t>
      </w:r>
      <w:r w:rsidR="007B7933">
        <w:t>will</w:t>
      </w:r>
      <w:r w:rsidR="00007361">
        <w:t xml:space="preserve"> not expire until ten years after the later of the date the return was due or the date the return was filed</w:t>
      </w:r>
      <w:r w:rsidRPr="00F34E8F">
        <w:t xml:space="preserve">. This change </w:t>
      </w:r>
      <w:r w:rsidR="007B7933">
        <w:t>is</w:t>
      </w:r>
      <w:r w:rsidRPr="00F34E8F">
        <w:t xml:space="preserve"> effective upon enactment and appl</w:t>
      </w:r>
      <w:r w:rsidR="007B7933">
        <w:t>ies</w:t>
      </w:r>
      <w:r w:rsidRPr="00F34E8F">
        <w:t xml:space="preserve"> to assessments not barred by the current statute of limitations at that time.</w:t>
      </w:r>
      <w:bookmarkStart w:id="38" w:name="_ftnref40"/>
      <w:r w:rsidR="003F01C0">
        <w:rPr>
          <w:rStyle w:val="FootnoteReference"/>
        </w:rPr>
        <w:footnoteReference w:id="70"/>
      </w:r>
      <w:bookmarkEnd w:id="38"/>
      <w:r w:rsidR="001707A9" w:rsidRPr="00F34E8F">
        <w:t xml:space="preserve"> </w:t>
      </w:r>
      <w:r w:rsidR="00893EEC">
        <w:t>A previous version of the bill would have eliminated the statute of limitations on assessments of trust fund taxes.</w:t>
      </w:r>
    </w:p>
    <w:p w14:paraId="3D5C3119" w14:textId="77777777" w:rsidR="00F34E8F" w:rsidRPr="00F34E8F" w:rsidRDefault="00F34E8F" w:rsidP="00F34E8F">
      <w:pPr>
        <w:numPr>
          <w:ilvl w:val="0"/>
          <w:numId w:val="4"/>
        </w:numPr>
      </w:pPr>
      <w:r w:rsidRPr="00F34E8F">
        <w:rPr>
          <w:u w:val="single"/>
        </w:rPr>
        <w:t>Criminal Liability</w:t>
      </w:r>
      <w:r w:rsidRPr="00F34E8F">
        <w:t>: The bill provide</w:t>
      </w:r>
      <w:r w:rsidR="007B7933">
        <w:t>s</w:t>
      </w:r>
      <w:r w:rsidRPr="00F34E8F">
        <w:t xml:space="preserve"> that a person’s status as a responsible person or not, and therefore his potential civil liability for trust fund taxes, has no bearing on his potential criminal tax liability.</w:t>
      </w:r>
      <w:bookmarkStart w:id="39" w:name="_ftnref41"/>
      <w:r w:rsidR="003F01C0">
        <w:rPr>
          <w:rStyle w:val="FootnoteReference"/>
        </w:rPr>
        <w:footnoteReference w:id="71"/>
      </w:r>
      <w:bookmarkEnd w:id="39"/>
      <w:r w:rsidRPr="00F34E8F">
        <w:t xml:space="preserve"> </w:t>
      </w:r>
      <w:r w:rsidR="00893EEC">
        <w:t>This change is intended to prevent</w:t>
      </w:r>
      <w:r w:rsidRPr="00F34E8F">
        <w:t xml:space="preserve"> persons charged with crimes such as abetting the embezzlement of sales taxes </w:t>
      </w:r>
      <w:r w:rsidR="00887C32">
        <w:t>but who are not responsible person from</w:t>
      </w:r>
      <w:r w:rsidR="00893EEC">
        <w:t xml:space="preserve"> </w:t>
      </w:r>
      <w:r w:rsidR="00887C32">
        <w:t>avoiding criminal liability</w:t>
      </w:r>
      <w:r w:rsidRPr="00F34E8F">
        <w:t>.</w:t>
      </w:r>
      <w:bookmarkStart w:id="40" w:name="_ftnref42"/>
      <w:r w:rsidR="003F01C0">
        <w:rPr>
          <w:rStyle w:val="FootnoteReference"/>
        </w:rPr>
        <w:footnoteReference w:id="72"/>
      </w:r>
      <w:bookmarkEnd w:id="40"/>
      <w:r w:rsidR="001707A9" w:rsidRPr="00F34E8F">
        <w:t xml:space="preserve"> </w:t>
      </w:r>
    </w:p>
    <w:p w14:paraId="14D46ACB" w14:textId="77777777" w:rsidR="00F34E8F" w:rsidRPr="003A73C7" w:rsidRDefault="00F34E8F" w:rsidP="00F34E8F">
      <w:pPr>
        <w:rPr>
          <w:i/>
        </w:rPr>
      </w:pPr>
      <w:r w:rsidRPr="003A73C7">
        <w:rPr>
          <w:bCs/>
          <w:i/>
        </w:rPr>
        <w:t>Overdue Tax Debts</w:t>
      </w:r>
    </w:p>
    <w:p w14:paraId="3411B800" w14:textId="77777777" w:rsidR="00F34E8F" w:rsidRPr="00F34E8F" w:rsidRDefault="00F34E8F" w:rsidP="00F34E8F">
      <w:r w:rsidRPr="00F34E8F">
        <w:t xml:space="preserve">Current law </w:t>
      </w:r>
      <w:r w:rsidR="00887C32">
        <w:t>authorizes</w:t>
      </w:r>
      <w:r w:rsidRPr="00F34E8F">
        <w:t xml:space="preserve"> the Department </w:t>
      </w:r>
      <w:r w:rsidR="00887C32">
        <w:t>to</w:t>
      </w:r>
      <w:r w:rsidRPr="00F34E8F">
        <w:t xml:space="preserve"> impose a 20% collection assistance fee on any tax debt that remains unpaid 90 days after it becomes collectible. </w:t>
      </w:r>
      <w:r w:rsidR="00665267">
        <w:t>House Bill 1080</w:t>
      </w:r>
      <w:r w:rsidRPr="00F34E8F">
        <w:t xml:space="preserve"> shorten</w:t>
      </w:r>
      <w:r w:rsidR="007B7933">
        <w:t>s</w:t>
      </w:r>
      <w:r w:rsidRPr="00F34E8F">
        <w:t xml:space="preserve"> this period to 60 days. The change </w:t>
      </w:r>
      <w:r w:rsidR="007B7933">
        <w:t>is</w:t>
      </w:r>
      <w:r w:rsidRPr="00F34E8F">
        <w:t xml:space="preserve"> effective August 1, 2020 and appl</w:t>
      </w:r>
      <w:r w:rsidR="007B7933">
        <w:t>ies</w:t>
      </w:r>
      <w:r w:rsidRPr="00F34E8F">
        <w:t xml:space="preserve"> to tax debts that become collectible on or after that date.</w:t>
      </w:r>
      <w:bookmarkStart w:id="41" w:name="_ftnref43"/>
      <w:r w:rsidR="003F01C0">
        <w:rPr>
          <w:rStyle w:val="FootnoteReference"/>
        </w:rPr>
        <w:footnoteReference w:id="73"/>
      </w:r>
      <w:bookmarkEnd w:id="41"/>
      <w:r w:rsidRPr="00F34E8F">
        <w:t xml:space="preserve"> </w:t>
      </w:r>
    </w:p>
    <w:p w14:paraId="26CCB211" w14:textId="77777777" w:rsidR="00F34E8F" w:rsidRPr="003A73C7" w:rsidRDefault="00F34E8F" w:rsidP="00F34E8F">
      <w:pPr>
        <w:rPr>
          <w:i/>
        </w:rPr>
      </w:pPr>
      <w:r w:rsidRPr="003A73C7">
        <w:rPr>
          <w:bCs/>
          <w:i/>
        </w:rPr>
        <w:t>Identification Numbers</w:t>
      </w:r>
    </w:p>
    <w:p w14:paraId="15D7F664" w14:textId="77777777" w:rsidR="00F34E8F" w:rsidRPr="00F34E8F" w:rsidRDefault="00665267" w:rsidP="00F34E8F">
      <w:r>
        <w:t>House Bill 1080</w:t>
      </w:r>
      <w:r w:rsidR="00F34E8F" w:rsidRPr="00F34E8F">
        <w:t xml:space="preserve"> require</w:t>
      </w:r>
      <w:r w:rsidR="007B7933">
        <w:t>s</w:t>
      </w:r>
      <w:r w:rsidR="00F34E8F" w:rsidRPr="00F34E8F">
        <w:t xml:space="preserve"> taxpayers to include their full taxpayer identification numbers (as opposed to truncated numbers such as the last four digits of a Social Security number) on all filings with the Department unless specifically authorized to do otherwise.</w:t>
      </w:r>
      <w:bookmarkStart w:id="42" w:name="_ftnref44"/>
      <w:r w:rsidR="003F01C0">
        <w:rPr>
          <w:rStyle w:val="FootnoteReference"/>
        </w:rPr>
        <w:footnoteReference w:id="74"/>
      </w:r>
      <w:bookmarkEnd w:id="42"/>
      <w:r w:rsidR="00F34E8F" w:rsidRPr="00F34E8F">
        <w:t xml:space="preserve"> </w:t>
      </w:r>
      <w:r w:rsidR="007B7933">
        <w:t>This change is effective upon enactment.</w:t>
      </w:r>
      <w:r w:rsidR="007B7933" w:rsidRPr="007B7933">
        <w:t xml:space="preserve"> </w:t>
      </w:r>
    </w:p>
    <w:p w14:paraId="1914275B" w14:textId="77777777" w:rsidR="00F34E8F" w:rsidRPr="003A73C7" w:rsidRDefault="00F34E8F" w:rsidP="00F34E8F">
      <w:pPr>
        <w:rPr>
          <w:i/>
        </w:rPr>
      </w:pPr>
      <w:r w:rsidRPr="003A73C7">
        <w:rPr>
          <w:bCs/>
          <w:i/>
        </w:rPr>
        <w:t xml:space="preserve">Taxpayer Conferences </w:t>
      </w:r>
    </w:p>
    <w:p w14:paraId="35369D69" w14:textId="77777777" w:rsidR="00F34E8F" w:rsidRPr="00F34E8F" w:rsidRDefault="00F34E8F" w:rsidP="00F34E8F">
      <w:r w:rsidRPr="00F34E8F">
        <w:t xml:space="preserve">Under current law, taxpayers are entitled to a conference with the Department after filing an objection to a proposed assessment or proposed denial of a refund. </w:t>
      </w:r>
      <w:r w:rsidR="00665267">
        <w:t>House Bill 1080</w:t>
      </w:r>
      <w:r w:rsidRPr="00F34E8F">
        <w:t xml:space="preserve"> clarif</w:t>
      </w:r>
      <w:r w:rsidR="00C241DF">
        <w:t>ies</w:t>
      </w:r>
      <w:r w:rsidRPr="00F34E8F">
        <w:t xml:space="preserve"> that the taxpayer and the Department may reschedule a conference by mutual agreement.</w:t>
      </w:r>
      <w:bookmarkStart w:id="43" w:name="_ftnref45"/>
      <w:r w:rsidR="003F01C0">
        <w:rPr>
          <w:rStyle w:val="FootnoteReference"/>
        </w:rPr>
        <w:footnoteReference w:id="75"/>
      </w:r>
      <w:bookmarkEnd w:id="43"/>
      <w:r w:rsidRPr="00F34E8F">
        <w:t xml:space="preserve"> </w:t>
      </w:r>
    </w:p>
    <w:p w14:paraId="0B418656" w14:textId="77777777" w:rsidR="00F34E8F" w:rsidRDefault="00F34E8F" w:rsidP="00F34E8F">
      <w:r w:rsidRPr="00F34E8F">
        <w:t xml:space="preserve">Current law also provides that, if a taxpayer fails to attend a scheduled conference without prior notice to the Department, the parties are deemed to be unable to resolve their differences and the Department must issue a Notice of Final Determination. </w:t>
      </w:r>
      <w:r w:rsidR="00665267">
        <w:t>House Bill 1080</w:t>
      </w:r>
      <w:r w:rsidRPr="00F34E8F">
        <w:t xml:space="preserve"> eliminate</w:t>
      </w:r>
      <w:r w:rsidR="00C241DF">
        <w:t>s</w:t>
      </w:r>
      <w:r w:rsidRPr="00F34E8F">
        <w:t xml:space="preserve"> the reference to the absence of prior notification to the Department. As a result, the Department </w:t>
      </w:r>
      <w:r w:rsidR="00C241DF">
        <w:t>is</w:t>
      </w:r>
      <w:r w:rsidRPr="00F34E8F">
        <w:t xml:space="preserve"> </w:t>
      </w:r>
      <w:r w:rsidRPr="00F34E8F">
        <w:lastRenderedPageBreak/>
        <w:t>authorized to issue a Notice of Final Determination if a taxpayer is unable to attend a scheduled conference even if the taxpayer had given prior notice to the Department.</w:t>
      </w:r>
      <w:bookmarkStart w:id="44" w:name="_ftnref46"/>
      <w:r w:rsidR="003F01C0">
        <w:rPr>
          <w:rStyle w:val="FootnoteReference"/>
        </w:rPr>
        <w:footnoteReference w:id="76"/>
      </w:r>
      <w:bookmarkEnd w:id="44"/>
      <w:r w:rsidR="001707A9" w:rsidRPr="00F34E8F">
        <w:t xml:space="preserve"> </w:t>
      </w:r>
    </w:p>
    <w:p w14:paraId="6BCB45C4" w14:textId="77777777" w:rsidR="00FE0911" w:rsidRPr="00E9428C" w:rsidRDefault="00E9428C" w:rsidP="00F34E8F">
      <w:pPr>
        <w:rPr>
          <w:b/>
          <w:u w:val="single"/>
        </w:rPr>
      </w:pPr>
      <w:r w:rsidRPr="00E9428C">
        <w:rPr>
          <w:b/>
          <w:u w:val="single"/>
        </w:rPr>
        <w:t>COVID</w:t>
      </w:r>
      <w:r w:rsidR="009D5A32">
        <w:rPr>
          <w:b/>
          <w:u w:val="single"/>
        </w:rPr>
        <w:t>-19</w:t>
      </w:r>
      <w:r w:rsidR="001707A9">
        <w:rPr>
          <w:b/>
          <w:u w:val="single"/>
        </w:rPr>
        <w:t xml:space="preserve"> Tax Relief</w:t>
      </w:r>
    </w:p>
    <w:p w14:paraId="704056B4" w14:textId="77777777" w:rsidR="00FE0911" w:rsidRPr="008B2FD1" w:rsidRDefault="00665267" w:rsidP="00FE0911">
      <w:pPr>
        <w:shd w:val="clear" w:color="auto" w:fill="FFFFFF"/>
        <w:spacing w:after="240"/>
        <w:rPr>
          <w:rFonts w:cs="Times New Roman"/>
          <w:color w:val="333333"/>
          <w:szCs w:val="24"/>
        </w:rPr>
      </w:pPr>
      <w:r>
        <w:rPr>
          <w:rFonts w:cs="Times New Roman"/>
          <w:color w:val="333333"/>
          <w:szCs w:val="24"/>
        </w:rPr>
        <w:t>Senate Bill 704, the COVID-19 Recovery Act, was ratified on May 2, 2020 and signed by the Governor on May 4</w:t>
      </w:r>
      <w:r w:rsidRPr="00665267">
        <w:rPr>
          <w:rFonts w:cs="Times New Roman"/>
          <w:color w:val="333333"/>
          <w:szCs w:val="24"/>
          <w:vertAlign w:val="superscript"/>
        </w:rPr>
        <w:t>th</w:t>
      </w:r>
      <w:r>
        <w:rPr>
          <w:rFonts w:cs="Times New Roman"/>
          <w:color w:val="333333"/>
          <w:szCs w:val="24"/>
        </w:rPr>
        <w:t>. The bill included</w:t>
      </w:r>
      <w:r w:rsidR="00FE0911" w:rsidRPr="008B2FD1">
        <w:rPr>
          <w:rFonts w:cs="Times New Roman"/>
          <w:color w:val="333333"/>
          <w:szCs w:val="24"/>
        </w:rPr>
        <w:t xml:space="preserve"> </w:t>
      </w:r>
      <w:r>
        <w:rPr>
          <w:rFonts w:cs="Times New Roman"/>
          <w:color w:val="333333"/>
          <w:szCs w:val="24"/>
        </w:rPr>
        <w:t>important pandemic-related</w:t>
      </w:r>
      <w:r w:rsidR="00FE0911" w:rsidRPr="008B2FD1">
        <w:rPr>
          <w:rFonts w:cs="Times New Roman"/>
          <w:color w:val="333333"/>
          <w:szCs w:val="24"/>
        </w:rPr>
        <w:t xml:space="preserve"> tax </w:t>
      </w:r>
      <w:r>
        <w:rPr>
          <w:rFonts w:cs="Times New Roman"/>
          <w:color w:val="333333"/>
          <w:szCs w:val="24"/>
        </w:rPr>
        <w:t xml:space="preserve">relief </w:t>
      </w:r>
      <w:r w:rsidR="00FE0911" w:rsidRPr="008B2FD1">
        <w:rPr>
          <w:rFonts w:cs="Times New Roman"/>
          <w:color w:val="333333"/>
          <w:szCs w:val="24"/>
        </w:rPr>
        <w:t>provisions.</w:t>
      </w:r>
    </w:p>
    <w:p w14:paraId="6F4B23CF" w14:textId="77777777" w:rsidR="00FE0911" w:rsidRPr="003A73C7" w:rsidRDefault="00FE0911" w:rsidP="00FE0911">
      <w:pPr>
        <w:shd w:val="clear" w:color="auto" w:fill="FFFFFF"/>
        <w:spacing w:after="240"/>
        <w:rPr>
          <w:rFonts w:cs="Times New Roman"/>
          <w:i/>
          <w:color w:val="333333"/>
          <w:szCs w:val="24"/>
        </w:rPr>
      </w:pPr>
      <w:r w:rsidRPr="003A73C7">
        <w:rPr>
          <w:rFonts w:cs="Times New Roman"/>
          <w:bCs/>
          <w:i/>
          <w:color w:val="333333"/>
          <w:szCs w:val="24"/>
        </w:rPr>
        <w:t>Interest Waiver </w:t>
      </w:r>
    </w:p>
    <w:p w14:paraId="30A9B61C" w14:textId="77777777" w:rsidR="00FE0911" w:rsidRPr="008B2FD1" w:rsidRDefault="00FE0911" w:rsidP="00FE0911">
      <w:pPr>
        <w:shd w:val="clear" w:color="auto" w:fill="FFFFFF"/>
        <w:spacing w:after="240"/>
        <w:rPr>
          <w:rFonts w:cs="Times New Roman"/>
          <w:color w:val="333333"/>
          <w:szCs w:val="24"/>
        </w:rPr>
      </w:pPr>
      <w:r w:rsidRPr="008B2FD1">
        <w:rPr>
          <w:rFonts w:cs="Times New Roman"/>
          <w:color w:val="333333"/>
          <w:szCs w:val="24"/>
        </w:rPr>
        <w:t>In March, the Department exercised its authority under section 105-263(b) of the General Statutes to extend the 2020 due date for filing income and franchise tax returns. Returns originally due April 15, 2020 were extended until July 15, 2020. This extension applied to returns due from individuals, corporations, partnerships, trusts and estates.</w:t>
      </w:r>
      <w:bookmarkStart w:id="45" w:name="_ftnref1"/>
      <w:r w:rsidR="003F01C0">
        <w:rPr>
          <w:rStyle w:val="FootnoteReference"/>
          <w:rFonts w:cs="Times New Roman"/>
          <w:color w:val="333333"/>
          <w:szCs w:val="24"/>
        </w:rPr>
        <w:footnoteReference w:id="77"/>
      </w:r>
      <w:bookmarkEnd w:id="45"/>
      <w:r w:rsidRPr="008B2FD1">
        <w:rPr>
          <w:rFonts w:cs="Times New Roman"/>
          <w:color w:val="333333"/>
          <w:szCs w:val="24"/>
        </w:rPr>
        <w:t xml:space="preserve"> The </w:t>
      </w:r>
      <w:r w:rsidR="00F87ECF">
        <w:rPr>
          <w:rFonts w:cs="Times New Roman"/>
          <w:color w:val="333333"/>
          <w:szCs w:val="24"/>
        </w:rPr>
        <w:t>Department</w:t>
      </w:r>
      <w:r w:rsidRPr="008B2FD1">
        <w:rPr>
          <w:rFonts w:cs="Times New Roman"/>
          <w:color w:val="333333"/>
          <w:szCs w:val="24"/>
        </w:rPr>
        <w:t xml:space="preserve"> also previously exercised its authority under section 105-237 to waive failure to pay penalties for income and franchise taxpayers as long as they paid taxes otherwise due on April 15, 2020 by July 15, 2020.</w:t>
      </w:r>
      <w:r w:rsidR="003F01C0">
        <w:rPr>
          <w:rStyle w:val="FootnoteReference"/>
          <w:rFonts w:cs="Times New Roman"/>
          <w:color w:val="333333"/>
          <w:szCs w:val="24"/>
        </w:rPr>
        <w:footnoteReference w:id="78"/>
      </w:r>
      <w:r w:rsidRPr="008B2FD1">
        <w:rPr>
          <w:rFonts w:cs="Times New Roman"/>
          <w:color w:val="333333"/>
          <w:szCs w:val="24"/>
        </w:rPr>
        <w:t> </w:t>
      </w:r>
    </w:p>
    <w:p w14:paraId="79BC1806" w14:textId="77777777" w:rsidR="00FE0911" w:rsidRPr="008B2FD1" w:rsidRDefault="00FE0911" w:rsidP="00FE0911">
      <w:pPr>
        <w:shd w:val="clear" w:color="auto" w:fill="FFFFFF"/>
        <w:spacing w:after="240"/>
        <w:rPr>
          <w:rFonts w:cs="Times New Roman"/>
          <w:color w:val="333333"/>
          <w:szCs w:val="24"/>
        </w:rPr>
      </w:pPr>
      <w:r w:rsidRPr="008B2FD1">
        <w:rPr>
          <w:rFonts w:cs="Times New Roman"/>
          <w:color w:val="333333"/>
          <w:szCs w:val="24"/>
        </w:rPr>
        <w:t xml:space="preserve">However, the </w:t>
      </w:r>
      <w:r w:rsidR="00F87ECF">
        <w:rPr>
          <w:rFonts w:cs="Times New Roman"/>
          <w:color w:val="333333"/>
          <w:szCs w:val="24"/>
        </w:rPr>
        <w:t>Department</w:t>
      </w:r>
      <w:r w:rsidRPr="008B2FD1">
        <w:rPr>
          <w:rFonts w:cs="Times New Roman"/>
          <w:color w:val="333333"/>
          <w:szCs w:val="24"/>
        </w:rPr>
        <w:t xml:space="preserve"> explained in the penalty waiver</w:t>
      </w:r>
      <w:r w:rsidR="00665267">
        <w:rPr>
          <w:rFonts w:cs="Times New Roman"/>
          <w:color w:val="333333"/>
          <w:szCs w:val="24"/>
        </w:rPr>
        <w:t xml:space="preserve"> Notice</w:t>
      </w:r>
      <w:r w:rsidR="00665267" w:rsidRPr="008B2FD1">
        <w:rPr>
          <w:rFonts w:cs="Times New Roman"/>
          <w:color w:val="333333"/>
          <w:szCs w:val="24"/>
        </w:rPr>
        <w:t> that</w:t>
      </w:r>
      <w:r w:rsidRPr="008B2FD1">
        <w:rPr>
          <w:rFonts w:cs="Times New Roman"/>
          <w:color w:val="333333"/>
          <w:szCs w:val="24"/>
        </w:rPr>
        <w:t xml:space="preserve"> it lacked statutory authority to waive interest. As a result, even though income and franchise taxpayers were granted extensions until July 15, 2020 to file returns and pay taxes, they would still be required to pay interest on the amounts deferred from the original due date of their returns until the date of payment. </w:t>
      </w:r>
    </w:p>
    <w:p w14:paraId="3FF2A5CD" w14:textId="77777777" w:rsidR="00FE0911" w:rsidRPr="008B2FD1" w:rsidRDefault="00FE0911" w:rsidP="00FE0911">
      <w:pPr>
        <w:shd w:val="clear" w:color="auto" w:fill="FFFFFF"/>
        <w:spacing w:after="240"/>
        <w:rPr>
          <w:rFonts w:cs="Times New Roman"/>
          <w:color w:val="333333"/>
          <w:szCs w:val="24"/>
        </w:rPr>
      </w:pPr>
      <w:r w:rsidRPr="008B2FD1">
        <w:rPr>
          <w:rFonts w:cs="Times New Roman"/>
          <w:color w:val="333333"/>
          <w:szCs w:val="24"/>
        </w:rPr>
        <w:t>On March 31, 2020, the Department expanded its filing and penalty relief to cover sales taxes, withholding taxes and various excise taxes. Under the expanded relief, returns and taxes due during the period from March 15, 2020 through July 15, 2020, would be considered timely filed and paid if the required action was taken by July 15, 2020.</w:t>
      </w:r>
      <w:r w:rsidR="001707A9">
        <w:rPr>
          <w:rStyle w:val="FootnoteReference"/>
          <w:rFonts w:cs="Times New Roman"/>
          <w:color w:val="333333"/>
          <w:szCs w:val="24"/>
        </w:rPr>
        <w:footnoteReference w:id="79"/>
      </w:r>
      <w:r w:rsidRPr="008B2FD1">
        <w:rPr>
          <w:rFonts w:cs="Times New Roman"/>
          <w:color w:val="333333"/>
          <w:szCs w:val="24"/>
        </w:rPr>
        <w:t> </w:t>
      </w:r>
    </w:p>
    <w:p w14:paraId="5ACF7A9E" w14:textId="77777777" w:rsidR="00FE0911" w:rsidRPr="008B2FD1" w:rsidRDefault="00FE0911" w:rsidP="00FE0911">
      <w:pPr>
        <w:shd w:val="clear" w:color="auto" w:fill="FFFFFF"/>
        <w:spacing w:after="240"/>
        <w:rPr>
          <w:rFonts w:cs="Times New Roman"/>
          <w:color w:val="333333"/>
          <w:szCs w:val="24"/>
        </w:rPr>
      </w:pPr>
      <w:r w:rsidRPr="008B2FD1">
        <w:rPr>
          <w:rFonts w:cs="Times New Roman"/>
          <w:color w:val="333333"/>
          <w:szCs w:val="24"/>
        </w:rPr>
        <w:t>Senate Bill 704 direct</w:t>
      </w:r>
      <w:r w:rsidR="00665267">
        <w:rPr>
          <w:rFonts w:cs="Times New Roman"/>
          <w:color w:val="333333"/>
          <w:szCs w:val="24"/>
        </w:rPr>
        <w:t>ed</w:t>
      </w:r>
      <w:r w:rsidRPr="008B2FD1">
        <w:rPr>
          <w:rFonts w:cs="Times New Roman"/>
          <w:color w:val="333333"/>
          <w:szCs w:val="24"/>
        </w:rPr>
        <w:t xml:space="preserve"> the </w:t>
      </w:r>
      <w:r w:rsidR="00F87ECF">
        <w:rPr>
          <w:rFonts w:cs="Times New Roman"/>
          <w:color w:val="333333"/>
          <w:szCs w:val="24"/>
        </w:rPr>
        <w:t>Department</w:t>
      </w:r>
      <w:r w:rsidRPr="008B2FD1">
        <w:rPr>
          <w:rFonts w:cs="Times New Roman"/>
          <w:color w:val="333333"/>
          <w:szCs w:val="24"/>
        </w:rPr>
        <w:t xml:space="preserve"> to waive the accrual of interest on any income or franchise tax return for the period from April 15, 2020 through July 15, 2020. This relief appl</w:t>
      </w:r>
      <w:r w:rsidR="00665267">
        <w:rPr>
          <w:rFonts w:cs="Times New Roman"/>
          <w:color w:val="333333"/>
          <w:szCs w:val="24"/>
        </w:rPr>
        <w:t>ies</w:t>
      </w:r>
      <w:r w:rsidRPr="008B2FD1">
        <w:rPr>
          <w:rFonts w:cs="Times New Roman"/>
          <w:color w:val="333333"/>
          <w:szCs w:val="24"/>
        </w:rPr>
        <w:t xml:space="preserve"> to returns filed by individuals, corporations, partnerships, estates and trusts.</w:t>
      </w:r>
      <w:r w:rsidR="001707A9">
        <w:rPr>
          <w:rStyle w:val="FootnoteReference"/>
          <w:rFonts w:cs="Times New Roman"/>
          <w:color w:val="333333"/>
          <w:szCs w:val="24"/>
        </w:rPr>
        <w:footnoteReference w:id="80"/>
      </w:r>
      <w:r w:rsidRPr="008B2FD1">
        <w:rPr>
          <w:rFonts w:cs="Times New Roman"/>
          <w:color w:val="333333"/>
          <w:szCs w:val="24"/>
        </w:rPr>
        <w:t> The interest relief specifically applies to first and second quarter estimated tax payments but does not apply to interest on taxes reported on returns that were due before April 15, 2020 or to interest on taxes reported on returns required to be filed on or before July 15, 2020 that are filed after that date.</w:t>
      </w:r>
    </w:p>
    <w:p w14:paraId="649FF4BC" w14:textId="77777777" w:rsidR="00FE0911" w:rsidRPr="008B2FD1" w:rsidRDefault="00FE0911" w:rsidP="00FE0911">
      <w:pPr>
        <w:shd w:val="clear" w:color="auto" w:fill="FFFFFF"/>
        <w:spacing w:after="240"/>
        <w:rPr>
          <w:rFonts w:cs="Times New Roman"/>
          <w:color w:val="333333"/>
          <w:szCs w:val="24"/>
        </w:rPr>
      </w:pPr>
      <w:r w:rsidRPr="008B2FD1">
        <w:rPr>
          <w:rFonts w:cs="Times New Roman"/>
          <w:color w:val="333333"/>
          <w:szCs w:val="24"/>
        </w:rPr>
        <w:t xml:space="preserve">Notably, the law does not waive the accrual of interest on other taxes, such as sales taxes, for which the </w:t>
      </w:r>
      <w:r w:rsidR="00F87ECF">
        <w:rPr>
          <w:rFonts w:cs="Times New Roman"/>
          <w:color w:val="333333"/>
          <w:szCs w:val="24"/>
        </w:rPr>
        <w:t>Department</w:t>
      </w:r>
      <w:r w:rsidRPr="008B2FD1">
        <w:rPr>
          <w:rFonts w:cs="Times New Roman"/>
          <w:color w:val="333333"/>
          <w:szCs w:val="24"/>
        </w:rPr>
        <w:t xml:space="preserve"> provided penalty relief in its </w:t>
      </w:r>
      <w:r w:rsidR="00665267">
        <w:rPr>
          <w:rFonts w:cs="Times New Roman"/>
          <w:color w:val="333333"/>
          <w:szCs w:val="24"/>
        </w:rPr>
        <w:t>March 31, 2020 Notice</w:t>
      </w:r>
      <w:r w:rsidRPr="008B2FD1">
        <w:rPr>
          <w:rFonts w:cs="Times New Roman"/>
          <w:color w:val="333333"/>
          <w:szCs w:val="24"/>
        </w:rPr>
        <w:t>. </w:t>
      </w:r>
    </w:p>
    <w:p w14:paraId="677CBB5E" w14:textId="77777777" w:rsidR="00FE0911" w:rsidRPr="003A73C7" w:rsidRDefault="00FE0911" w:rsidP="00FE0911">
      <w:pPr>
        <w:shd w:val="clear" w:color="auto" w:fill="FFFFFF"/>
        <w:spacing w:after="240"/>
        <w:rPr>
          <w:rFonts w:cs="Times New Roman"/>
          <w:i/>
          <w:color w:val="333333"/>
          <w:szCs w:val="24"/>
        </w:rPr>
      </w:pPr>
      <w:r w:rsidRPr="003A73C7">
        <w:rPr>
          <w:rFonts w:cs="Times New Roman"/>
          <w:bCs/>
          <w:i/>
          <w:color w:val="333333"/>
          <w:szCs w:val="24"/>
        </w:rPr>
        <w:lastRenderedPageBreak/>
        <w:t>Extended Deadline for 2016 Refund Claims </w:t>
      </w:r>
    </w:p>
    <w:p w14:paraId="372CF4A5" w14:textId="77777777" w:rsidR="00FE0911" w:rsidRPr="008B2FD1" w:rsidRDefault="00FE0911" w:rsidP="00FE0911">
      <w:pPr>
        <w:shd w:val="clear" w:color="auto" w:fill="FFFFFF"/>
        <w:spacing w:after="240"/>
        <w:rPr>
          <w:rFonts w:cs="Times New Roman"/>
          <w:color w:val="333333"/>
          <w:szCs w:val="24"/>
        </w:rPr>
      </w:pPr>
      <w:r w:rsidRPr="008B2FD1">
        <w:rPr>
          <w:rFonts w:cs="Times New Roman"/>
          <w:color w:val="333333"/>
          <w:szCs w:val="24"/>
        </w:rPr>
        <w:t>Senate Bill 704 also extend</w:t>
      </w:r>
      <w:r w:rsidR="00665267">
        <w:rPr>
          <w:rFonts w:cs="Times New Roman"/>
          <w:color w:val="333333"/>
          <w:szCs w:val="24"/>
        </w:rPr>
        <w:t>ed</w:t>
      </w:r>
      <w:r w:rsidRPr="008B2FD1">
        <w:rPr>
          <w:rFonts w:cs="Times New Roman"/>
          <w:color w:val="333333"/>
          <w:szCs w:val="24"/>
        </w:rPr>
        <w:t xml:space="preserve"> the dates for filing certain refund claims. Any claim for a refund of income or franchise taxes, which, under the statute of limitations, would otherwise be due between April 15, 2020 and July 15, 2020, </w:t>
      </w:r>
      <w:r w:rsidR="00665267">
        <w:rPr>
          <w:rFonts w:cs="Times New Roman"/>
          <w:color w:val="333333"/>
          <w:szCs w:val="24"/>
        </w:rPr>
        <w:t>is</w:t>
      </w:r>
      <w:r w:rsidRPr="008B2FD1">
        <w:rPr>
          <w:rFonts w:cs="Times New Roman"/>
          <w:color w:val="333333"/>
          <w:szCs w:val="24"/>
        </w:rPr>
        <w:t xml:space="preserve"> considered timely if filed by July 15, 2020.</w:t>
      </w:r>
      <w:r w:rsidR="001707A9">
        <w:rPr>
          <w:rStyle w:val="FootnoteReference"/>
          <w:rFonts w:cs="Times New Roman"/>
          <w:color w:val="333333"/>
          <w:szCs w:val="24"/>
        </w:rPr>
        <w:footnoteReference w:id="81"/>
      </w:r>
      <w:r w:rsidRPr="008B2FD1">
        <w:rPr>
          <w:rFonts w:cs="Times New Roman"/>
          <w:color w:val="333333"/>
          <w:szCs w:val="24"/>
        </w:rPr>
        <w:t> Refund claims are generally required to be filed within three years from the date the return was due. Thus, taxpayers wishing to claim a refund of 2016 taxes reported on returns filed on April 15, 2017, and which would otherwise have been due April 15, 2020, have until July 15, 2020 to file the claim. </w:t>
      </w:r>
    </w:p>
    <w:p w14:paraId="52B21C35" w14:textId="77777777" w:rsidR="00FE0911" w:rsidRPr="003A73C7" w:rsidRDefault="00FE0911" w:rsidP="00FE0911">
      <w:pPr>
        <w:shd w:val="clear" w:color="auto" w:fill="FFFFFF"/>
        <w:spacing w:after="240"/>
        <w:rPr>
          <w:rFonts w:cs="Times New Roman"/>
          <w:i/>
          <w:color w:val="333333"/>
          <w:szCs w:val="24"/>
        </w:rPr>
      </w:pPr>
      <w:r w:rsidRPr="003A73C7">
        <w:rPr>
          <w:rFonts w:cs="Times New Roman"/>
          <w:bCs/>
          <w:i/>
          <w:color w:val="333333"/>
          <w:szCs w:val="24"/>
        </w:rPr>
        <w:t>Extended Deadlines for Tax Appeals </w:t>
      </w:r>
    </w:p>
    <w:p w14:paraId="15F0F4EC" w14:textId="77777777" w:rsidR="00FE0911" w:rsidRPr="008B2FD1" w:rsidRDefault="00FE0911" w:rsidP="00FE0911">
      <w:pPr>
        <w:shd w:val="clear" w:color="auto" w:fill="FFFFFF"/>
        <w:spacing w:after="240"/>
        <w:rPr>
          <w:rFonts w:cs="Times New Roman"/>
          <w:color w:val="333333"/>
          <w:szCs w:val="24"/>
        </w:rPr>
      </w:pPr>
      <w:r w:rsidRPr="008B2FD1">
        <w:rPr>
          <w:rFonts w:cs="Times New Roman"/>
          <w:color w:val="333333"/>
          <w:szCs w:val="24"/>
        </w:rPr>
        <w:t>Senate Bill 704 also extend</w:t>
      </w:r>
      <w:r w:rsidR="00665267">
        <w:rPr>
          <w:rFonts w:cs="Times New Roman"/>
          <w:color w:val="333333"/>
          <w:szCs w:val="24"/>
        </w:rPr>
        <w:t>ed</w:t>
      </w:r>
      <w:r w:rsidRPr="008B2FD1">
        <w:rPr>
          <w:rFonts w:cs="Times New Roman"/>
          <w:color w:val="333333"/>
          <w:szCs w:val="24"/>
        </w:rPr>
        <w:t xml:space="preserve"> the deadlines for taking certain actions in connection with tax appeal proceedings. The actions covered are: (i) Requests for </w:t>
      </w:r>
      <w:r w:rsidR="00F87ECF">
        <w:rPr>
          <w:rFonts w:cs="Times New Roman"/>
          <w:color w:val="333333"/>
          <w:szCs w:val="24"/>
        </w:rPr>
        <w:t>DEPARTMENT</w:t>
      </w:r>
      <w:r w:rsidRPr="008B2FD1">
        <w:rPr>
          <w:rFonts w:cs="Times New Roman"/>
          <w:color w:val="333333"/>
          <w:szCs w:val="24"/>
        </w:rPr>
        <w:t xml:space="preserve"> review of proposed assessments or proposed refund denials, (ii) contested case petitions before the Office of Administrative Hearings (OAH) challenging a notice of final determination and (iii) requests for judicial review of OAH decisions. Any of these filings otherwise required to be made on or after April 1, 2020 and before July 15, 2020 are considered timely if filed by July 15, 2020.</w:t>
      </w:r>
      <w:r w:rsidR="001707A9">
        <w:rPr>
          <w:rStyle w:val="FootnoteReference"/>
          <w:rFonts w:cs="Times New Roman"/>
          <w:color w:val="333333"/>
          <w:szCs w:val="24"/>
        </w:rPr>
        <w:footnoteReference w:id="82"/>
      </w:r>
      <w:r w:rsidRPr="008B2FD1">
        <w:rPr>
          <w:rFonts w:cs="Times New Roman"/>
          <w:color w:val="333333"/>
          <w:szCs w:val="24"/>
        </w:rPr>
        <w:t> These extensions apply to contests involving any tax subject to the uniform tax appeal procedures and not just to income and franchise taxes. </w:t>
      </w:r>
    </w:p>
    <w:p w14:paraId="57F0C924" w14:textId="77777777" w:rsidR="00FE0911" w:rsidRPr="003A73C7" w:rsidRDefault="00FE0911" w:rsidP="00FE0911">
      <w:pPr>
        <w:shd w:val="clear" w:color="auto" w:fill="FFFFFF"/>
        <w:spacing w:after="240"/>
        <w:rPr>
          <w:rFonts w:cs="Times New Roman"/>
          <w:i/>
          <w:color w:val="333333"/>
          <w:szCs w:val="24"/>
        </w:rPr>
      </w:pPr>
      <w:r w:rsidRPr="003A73C7">
        <w:rPr>
          <w:rFonts w:cs="Times New Roman"/>
          <w:bCs/>
          <w:i/>
          <w:color w:val="333333"/>
          <w:szCs w:val="24"/>
        </w:rPr>
        <w:t>SUTA Contribution Credit </w:t>
      </w:r>
    </w:p>
    <w:p w14:paraId="4B6147E3" w14:textId="77777777" w:rsidR="00FE0911" w:rsidRPr="008B2FD1" w:rsidRDefault="00665267" w:rsidP="00FE0911">
      <w:pPr>
        <w:shd w:val="clear" w:color="auto" w:fill="FFFFFF"/>
        <w:spacing w:after="240"/>
        <w:rPr>
          <w:rFonts w:cs="Times New Roman"/>
          <w:color w:val="333333"/>
          <w:szCs w:val="24"/>
        </w:rPr>
      </w:pPr>
      <w:r>
        <w:rPr>
          <w:rFonts w:cs="Times New Roman"/>
          <w:color w:val="333333"/>
          <w:szCs w:val="24"/>
        </w:rPr>
        <w:t xml:space="preserve">Senate Bill 704 </w:t>
      </w:r>
      <w:r w:rsidR="00FE0911" w:rsidRPr="008B2FD1">
        <w:rPr>
          <w:rFonts w:cs="Times New Roman"/>
          <w:color w:val="333333"/>
          <w:szCs w:val="24"/>
        </w:rPr>
        <w:t>also ma</w:t>
      </w:r>
      <w:r>
        <w:rPr>
          <w:rFonts w:cs="Times New Roman"/>
          <w:color w:val="333333"/>
          <w:szCs w:val="24"/>
        </w:rPr>
        <w:t>de</w:t>
      </w:r>
      <w:r w:rsidR="00FE0911" w:rsidRPr="008B2FD1">
        <w:rPr>
          <w:rFonts w:cs="Times New Roman"/>
          <w:color w:val="333333"/>
          <w:szCs w:val="24"/>
        </w:rPr>
        <w:t xml:space="preserve"> changes to the state’s unemployment insurance program and the State Unemployment Tax Act (“SUTA”) that provides funding for the program. While most of these changes are beyond the scope of this Alert,</w:t>
      </w:r>
      <w:r w:rsidR="001707A9">
        <w:rPr>
          <w:rStyle w:val="FootnoteReference"/>
          <w:rFonts w:cs="Times New Roman"/>
          <w:color w:val="333333"/>
          <w:szCs w:val="24"/>
        </w:rPr>
        <w:footnoteReference w:id="83"/>
      </w:r>
      <w:r w:rsidR="00FE0911" w:rsidRPr="008B2FD1">
        <w:rPr>
          <w:rFonts w:cs="Times New Roman"/>
          <w:color w:val="333333"/>
          <w:szCs w:val="24"/>
        </w:rPr>
        <w:t> they include a SUTA tax credit for employers equal to the amount of the unemployment insurance contributions payable on the SUTA report due on April 30, 2020. If the employer has already remitted the contributions shown on the report, the credit is applied against the contribution due with the report due on July 31, 2020, and any excess credit will be refunded to the employer. An employer must file a return to receive the credit.</w:t>
      </w:r>
      <w:r w:rsidR="001707A9">
        <w:rPr>
          <w:rStyle w:val="FootnoteReference"/>
          <w:rFonts w:cs="Times New Roman"/>
          <w:color w:val="333333"/>
          <w:szCs w:val="24"/>
        </w:rPr>
        <w:footnoteReference w:id="84"/>
      </w:r>
      <w:r w:rsidR="00FE0911" w:rsidRPr="008B2FD1">
        <w:rPr>
          <w:rFonts w:cs="Times New Roman"/>
          <w:color w:val="333333"/>
          <w:szCs w:val="24"/>
        </w:rPr>
        <w:t> </w:t>
      </w:r>
    </w:p>
    <w:p w14:paraId="6E0FB930" w14:textId="77777777" w:rsidR="00FE0911" w:rsidRPr="003A73C7" w:rsidRDefault="00FE0911" w:rsidP="00FE0911">
      <w:pPr>
        <w:shd w:val="clear" w:color="auto" w:fill="FFFFFF"/>
        <w:spacing w:after="240"/>
        <w:rPr>
          <w:rFonts w:cs="Times New Roman"/>
          <w:i/>
          <w:color w:val="333333"/>
          <w:szCs w:val="24"/>
        </w:rPr>
      </w:pPr>
      <w:r w:rsidRPr="003A73C7">
        <w:rPr>
          <w:rFonts w:cs="Times New Roman"/>
          <w:bCs/>
          <w:i/>
          <w:color w:val="333333"/>
          <w:szCs w:val="24"/>
        </w:rPr>
        <w:t>Motor Vehicle Tax Extension </w:t>
      </w:r>
    </w:p>
    <w:p w14:paraId="6C404B97" w14:textId="77777777" w:rsidR="00FE0911" w:rsidRPr="008B2FD1" w:rsidRDefault="00665267" w:rsidP="00FE0911">
      <w:pPr>
        <w:shd w:val="clear" w:color="auto" w:fill="FFFFFF"/>
        <w:spacing w:after="240"/>
        <w:rPr>
          <w:rFonts w:cs="Times New Roman"/>
          <w:color w:val="333333"/>
          <w:szCs w:val="24"/>
        </w:rPr>
      </w:pPr>
      <w:r>
        <w:rPr>
          <w:rFonts w:cs="Times New Roman"/>
          <w:color w:val="333333"/>
          <w:szCs w:val="24"/>
        </w:rPr>
        <w:t>Senate Bill 704</w:t>
      </w:r>
      <w:r w:rsidR="00FE0911" w:rsidRPr="008B2FD1">
        <w:rPr>
          <w:rFonts w:cs="Times New Roman"/>
          <w:color w:val="333333"/>
          <w:szCs w:val="24"/>
        </w:rPr>
        <w:t xml:space="preserve"> requires the Division of Motor Vehicles to extend the validity of vehicle registrations and certain other credentials that would otherwise expire between March 1, 2020 and August 1, 2020 for five months. The bill also extends the due date for the payment of any motor vehicle tax that is tied to registration expiration so as to correspond with the extended expiration date.</w:t>
      </w:r>
      <w:r w:rsidR="001707A9">
        <w:rPr>
          <w:rStyle w:val="FootnoteReference"/>
          <w:rFonts w:cs="Times New Roman"/>
          <w:color w:val="333333"/>
          <w:szCs w:val="24"/>
        </w:rPr>
        <w:footnoteReference w:id="85"/>
      </w:r>
      <w:r w:rsidR="00FE0911" w:rsidRPr="008B2FD1">
        <w:rPr>
          <w:rFonts w:cs="Times New Roman"/>
          <w:color w:val="333333"/>
          <w:szCs w:val="24"/>
        </w:rPr>
        <w:t> </w:t>
      </w:r>
    </w:p>
    <w:p w14:paraId="79A0C215" w14:textId="77777777" w:rsidR="001707A9" w:rsidRPr="00665267" w:rsidRDefault="001707A9" w:rsidP="001707A9">
      <w:pPr>
        <w:rPr>
          <w:b/>
          <w:bCs/>
          <w:u w:val="single"/>
        </w:rPr>
      </w:pPr>
      <w:r w:rsidRPr="00665267">
        <w:rPr>
          <w:b/>
          <w:bCs/>
          <w:u w:val="single"/>
        </w:rPr>
        <w:lastRenderedPageBreak/>
        <w:t>Other Matters</w:t>
      </w:r>
    </w:p>
    <w:p w14:paraId="2742A4EE" w14:textId="77777777" w:rsidR="001707A9" w:rsidRDefault="001707A9" w:rsidP="001707A9">
      <w:r w:rsidRPr="00F34E8F">
        <w:t xml:space="preserve">In addition to the matters discussed above, </w:t>
      </w:r>
      <w:r w:rsidR="00665267">
        <w:t>legislation enacted in 2020</w:t>
      </w:r>
      <w:r w:rsidRPr="00F34E8F">
        <w:t xml:space="preserve"> (i) ma</w:t>
      </w:r>
      <w:r w:rsidR="00665267">
        <w:t>de</w:t>
      </w:r>
      <w:r w:rsidRPr="00F34E8F">
        <w:t xml:space="preserve"> changes to the Tobacco Products Tax, the Motor Fuels Tax and the Severance Tax,</w:t>
      </w:r>
      <w:bookmarkStart w:id="46" w:name="_ftnref47"/>
      <w:r>
        <w:rPr>
          <w:rStyle w:val="FootnoteReference"/>
        </w:rPr>
        <w:footnoteReference w:id="86"/>
      </w:r>
      <w:bookmarkEnd w:id="46"/>
      <w:r w:rsidRPr="00F34E8F">
        <w:t xml:space="preserve"> (ii) ma</w:t>
      </w:r>
      <w:r w:rsidR="00665267">
        <w:t>de</w:t>
      </w:r>
      <w:r w:rsidRPr="00F34E8F">
        <w:t xml:space="preserve"> technical changes to the apportionment method applicable to national broadcasters,</w:t>
      </w:r>
      <w:bookmarkStart w:id="47" w:name="_ftnref48"/>
      <w:r>
        <w:rPr>
          <w:rStyle w:val="FootnoteReference"/>
        </w:rPr>
        <w:footnoteReference w:id="87"/>
      </w:r>
      <w:bookmarkEnd w:id="47"/>
      <w:r w:rsidRPr="00F34E8F">
        <w:t xml:space="preserve"> (iii) repeal</w:t>
      </w:r>
      <w:r w:rsidR="00665267">
        <w:t>ed</w:t>
      </w:r>
      <w:r w:rsidRPr="00F34E8F">
        <w:t xml:space="preserve"> obsolete corporate and personal income tax adjustments related to the state’s decision to decouple from a 2009 federal change allowing taxpayers to defer recognition of certain cancellation of indebtedness income,</w:t>
      </w:r>
      <w:bookmarkStart w:id="48" w:name="_ftnref49"/>
      <w:r>
        <w:rPr>
          <w:rStyle w:val="FootnoteReference"/>
        </w:rPr>
        <w:footnoteReference w:id="88"/>
      </w:r>
      <w:bookmarkEnd w:id="48"/>
      <w:r w:rsidRPr="00F34E8F">
        <w:t xml:space="preserve"> (iv) repeal</w:t>
      </w:r>
      <w:r w:rsidR="00665267">
        <w:t>ed</w:t>
      </w:r>
      <w:r w:rsidRPr="00F34E8F">
        <w:t xml:space="preserve"> an obsolete adjustment to the federal definition of unrelated business income,</w:t>
      </w:r>
      <w:bookmarkStart w:id="49" w:name="_ftnref50"/>
      <w:r>
        <w:rPr>
          <w:rStyle w:val="FootnoteReference"/>
        </w:rPr>
        <w:footnoteReference w:id="89"/>
      </w:r>
      <w:bookmarkEnd w:id="49"/>
      <w:r w:rsidRPr="00F34E8F">
        <w:t xml:space="preserve"> (v) correct</w:t>
      </w:r>
      <w:r w:rsidR="00665267">
        <w:t>ed</w:t>
      </w:r>
      <w:r w:rsidRPr="00F34E8F">
        <w:t xml:space="preserve"> a statutory reference in a provision governing S corporation tax credits</w:t>
      </w:r>
      <w:r>
        <w:t>,</w:t>
      </w:r>
      <w:bookmarkStart w:id="50" w:name="_ftnref51"/>
      <w:r>
        <w:rPr>
          <w:rStyle w:val="FootnoteReference"/>
        </w:rPr>
        <w:footnoteReference w:id="90"/>
      </w:r>
      <w:bookmarkEnd w:id="50"/>
      <w:r w:rsidRPr="00F34E8F">
        <w:t xml:space="preserve"> </w:t>
      </w:r>
      <w:r>
        <w:t>exempt</w:t>
      </w:r>
      <w:r w:rsidR="00665267">
        <w:t>ed</w:t>
      </w:r>
      <w:r>
        <w:t xml:space="preserve"> the Department from certain requirements imposed on state agencies that issue licenses,</w:t>
      </w:r>
      <w:r>
        <w:rPr>
          <w:rStyle w:val="FootnoteReference"/>
        </w:rPr>
        <w:footnoteReference w:id="91"/>
      </w:r>
      <w:r>
        <w:t xml:space="preserve"> </w:t>
      </w:r>
      <w:r w:rsidR="00665267">
        <w:t xml:space="preserve">(vi) </w:t>
      </w:r>
      <w:r>
        <w:t>extend</w:t>
      </w:r>
      <w:r w:rsidR="00665267">
        <w:t>ed</w:t>
      </w:r>
      <w:r>
        <w:t xml:space="preserve"> until July 1, 2025, the sunset on the ability of North Carolina cities to use special assessment districts to finance infrastructure needs,</w:t>
      </w:r>
      <w:r>
        <w:rPr>
          <w:rStyle w:val="FootnoteReference"/>
        </w:rPr>
        <w:footnoteReference w:id="92"/>
      </w:r>
      <w:r>
        <w:t xml:space="preserve">and </w:t>
      </w:r>
      <w:r w:rsidR="00665267">
        <w:t xml:space="preserve">(vii) </w:t>
      </w:r>
      <w:r>
        <w:t>extend</w:t>
      </w:r>
      <w:r w:rsidR="00665267">
        <w:t>ed</w:t>
      </w:r>
      <w:r>
        <w:t xml:space="preserve"> until July 1, 2026 the sunset on the ability of natural gas local distribution companies to recover certain infrastructure costs through rate increases.</w:t>
      </w:r>
      <w:r>
        <w:rPr>
          <w:rStyle w:val="FootnoteReference"/>
        </w:rPr>
        <w:footnoteReference w:id="93"/>
      </w:r>
      <w:r>
        <w:t xml:space="preserve"> </w:t>
      </w:r>
    </w:p>
    <w:p w14:paraId="42BDF755" w14:textId="77777777" w:rsidR="003A73C7" w:rsidRDefault="003A73C7" w:rsidP="001707A9">
      <w:r>
        <w:t xml:space="preserve">One measure that was not enacted </w:t>
      </w:r>
      <w:r w:rsidR="00887C32">
        <w:t xml:space="preserve">during the session </w:t>
      </w:r>
      <w:r>
        <w:t>was Senate Bill 848</w:t>
      </w:r>
      <w:r w:rsidR="009B2A63">
        <w:t xml:space="preserve">. The original version of </w:t>
      </w:r>
      <w:r w:rsidR="00887C32">
        <w:t>that</w:t>
      </w:r>
      <w:r w:rsidR="009B2A63">
        <w:t xml:space="preserve"> bill would have provided a total of $50 million in franchise tax credits in each of 2020 and 2021 to taxpayers who made investments or retained workforce during those years. A later version of the bill converted the credit into a grant program available to franchise taxpayers that increased their investments in property in North Carolina. It is possible that some version of this bill may be revived in September when the General Assembly considers appropriations of any available federal pandemic relief funds.  </w:t>
      </w:r>
    </w:p>
    <w:p w14:paraId="0CC64C8D" w14:textId="77777777" w:rsidR="001707A9" w:rsidRPr="009D5A32" w:rsidRDefault="001707A9" w:rsidP="001707A9">
      <w:pPr>
        <w:shd w:val="clear" w:color="auto" w:fill="FFFFFF"/>
        <w:spacing w:after="0"/>
        <w:outlineLvl w:val="2"/>
        <w:rPr>
          <w:rFonts w:cs="Times New Roman"/>
          <w:b/>
          <w:color w:val="000000"/>
          <w:szCs w:val="24"/>
          <w:u w:val="single"/>
        </w:rPr>
      </w:pPr>
      <w:r w:rsidRPr="009D5A32">
        <w:rPr>
          <w:rFonts w:cs="Times New Roman"/>
          <w:b/>
          <w:color w:val="000000"/>
          <w:szCs w:val="24"/>
          <w:u w:val="single"/>
        </w:rPr>
        <w:t>Conclusion</w:t>
      </w:r>
    </w:p>
    <w:p w14:paraId="2E737A71" w14:textId="77777777" w:rsidR="001707A9" w:rsidRPr="008B2FD1" w:rsidRDefault="001707A9" w:rsidP="001707A9">
      <w:pPr>
        <w:shd w:val="clear" w:color="auto" w:fill="FFFFFF"/>
        <w:spacing w:after="0"/>
        <w:outlineLvl w:val="2"/>
        <w:rPr>
          <w:rFonts w:cs="Times New Roman"/>
          <w:color w:val="000000"/>
          <w:szCs w:val="24"/>
        </w:rPr>
      </w:pPr>
    </w:p>
    <w:p w14:paraId="1F2D03E4" w14:textId="77777777" w:rsidR="001707A9" w:rsidRPr="00F34E8F" w:rsidRDefault="001707A9" w:rsidP="001707A9">
      <w:r w:rsidRPr="00F34E8F">
        <w:t xml:space="preserve">For more information about </w:t>
      </w:r>
      <w:r>
        <w:t>2020 North Carolina tax legislation</w:t>
      </w:r>
      <w:r w:rsidRPr="00F34E8F">
        <w:t>, please contact a member of Smith Anderson’s</w:t>
      </w:r>
      <w:r w:rsidR="00F87ECF">
        <w:t xml:space="preserve"> Tax Group</w:t>
      </w:r>
      <w:r w:rsidRPr="00F34E8F">
        <w:t>, business lawyers who understand taxation.</w:t>
      </w:r>
    </w:p>
    <w:p w14:paraId="1CFAF635" w14:textId="77777777" w:rsidR="00FE0911" w:rsidRPr="008B2FD1" w:rsidRDefault="00FE0911" w:rsidP="00FE0911">
      <w:pPr>
        <w:rPr>
          <w:rFonts w:cs="Times New Roman"/>
          <w:szCs w:val="24"/>
        </w:rPr>
      </w:pPr>
    </w:p>
    <w:p w14:paraId="62C40174" w14:textId="77777777" w:rsidR="00FE0911" w:rsidRDefault="00FE0911" w:rsidP="00F34E8F"/>
    <w:sectPr w:rsidR="00FE09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70122" w14:textId="77777777" w:rsidR="00636F9E" w:rsidRDefault="00636F9E" w:rsidP="008D199E">
      <w:pPr>
        <w:spacing w:after="0"/>
      </w:pPr>
      <w:r>
        <w:separator/>
      </w:r>
    </w:p>
  </w:endnote>
  <w:endnote w:type="continuationSeparator" w:id="0">
    <w:p w14:paraId="38258DEB" w14:textId="77777777" w:rsidR="00636F9E" w:rsidRDefault="00636F9E" w:rsidP="008D1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22C08" w14:textId="77777777" w:rsidR="00636F9E" w:rsidRDefault="00636F9E" w:rsidP="008D199E">
      <w:pPr>
        <w:spacing w:after="0"/>
      </w:pPr>
      <w:r>
        <w:separator/>
      </w:r>
    </w:p>
  </w:footnote>
  <w:footnote w:type="continuationSeparator" w:id="0">
    <w:p w14:paraId="7872EC32" w14:textId="77777777" w:rsidR="00636F9E" w:rsidRDefault="00636F9E" w:rsidP="008D199E">
      <w:pPr>
        <w:spacing w:after="0"/>
      </w:pPr>
      <w:r>
        <w:continuationSeparator/>
      </w:r>
    </w:p>
  </w:footnote>
  <w:footnote w:id="1">
    <w:p w14:paraId="27957053" w14:textId="77777777" w:rsidR="00150929" w:rsidRDefault="00150929">
      <w:pPr>
        <w:pStyle w:val="FootnoteText"/>
      </w:pPr>
      <w:r>
        <w:rPr>
          <w:rStyle w:val="FootnoteReference"/>
        </w:rPr>
        <w:footnoteRef/>
      </w:r>
      <w:r>
        <w:t xml:space="preserve"> Chapter 105 of the North Carolina General Statutes.</w:t>
      </w:r>
    </w:p>
  </w:footnote>
  <w:footnote w:id="2">
    <w:p w14:paraId="2B02F5B9" w14:textId="77777777" w:rsidR="00150929" w:rsidRDefault="00150929">
      <w:pPr>
        <w:pStyle w:val="FootnoteText"/>
      </w:pPr>
      <w:r>
        <w:rPr>
          <w:rStyle w:val="FootnoteReference"/>
        </w:rPr>
        <w:footnoteRef/>
      </w:r>
      <w:r>
        <w:t xml:space="preserve"> </w:t>
      </w:r>
      <w:r w:rsidRPr="00F34E8F">
        <w:t>H1080, §1</w:t>
      </w:r>
      <w:r w:rsidRPr="00F34E8F">
        <w:t>.(a); N.C. Gen. Stat.§105-228.90(b)(1b).</w:t>
      </w:r>
    </w:p>
  </w:footnote>
  <w:footnote w:id="3">
    <w:p w14:paraId="2B997E52" w14:textId="77777777" w:rsidR="00150929" w:rsidRDefault="00150929">
      <w:pPr>
        <w:pStyle w:val="FootnoteText"/>
      </w:pPr>
      <w:r>
        <w:rPr>
          <w:rStyle w:val="FootnoteReference"/>
        </w:rPr>
        <w:footnoteRef/>
      </w:r>
      <w:r>
        <w:t xml:space="preserve"> </w:t>
      </w:r>
      <w:r w:rsidRPr="00F34E8F">
        <w:t>P.L. 116-94.</w:t>
      </w:r>
    </w:p>
  </w:footnote>
  <w:footnote w:id="4">
    <w:p w14:paraId="3A8FC789" w14:textId="77777777" w:rsidR="00150929" w:rsidRDefault="00150929">
      <w:pPr>
        <w:pStyle w:val="FootnoteText"/>
      </w:pPr>
      <w:r>
        <w:rPr>
          <w:rStyle w:val="FootnoteReference"/>
        </w:rPr>
        <w:footnoteRef/>
      </w:r>
      <w:r>
        <w:t xml:space="preserve"> </w:t>
      </w:r>
      <w:r w:rsidRPr="00F34E8F">
        <w:t>P.L. 116-136.</w:t>
      </w:r>
    </w:p>
  </w:footnote>
  <w:footnote w:id="5">
    <w:p w14:paraId="38E6B201" w14:textId="77777777" w:rsidR="00150929" w:rsidRDefault="00150929">
      <w:pPr>
        <w:pStyle w:val="FootnoteText"/>
      </w:pPr>
      <w:r>
        <w:rPr>
          <w:rStyle w:val="FootnoteReference"/>
        </w:rPr>
        <w:footnoteRef/>
      </w:r>
      <w:r>
        <w:t xml:space="preserve"> </w:t>
      </w:r>
      <w:r w:rsidRPr="00F34E8F">
        <w:rPr>
          <w:i/>
          <w:iCs/>
        </w:rPr>
        <w:t>See</w:t>
      </w:r>
      <w:r w:rsidRPr="00F34E8F">
        <w:t xml:space="preserve"> P.L. 116-94, Division Q, §§101, 102 and 104.</w:t>
      </w:r>
    </w:p>
  </w:footnote>
  <w:footnote w:id="6">
    <w:p w14:paraId="0547A509" w14:textId="77777777" w:rsidR="00150929" w:rsidRDefault="00150929">
      <w:pPr>
        <w:pStyle w:val="FootnoteText"/>
      </w:pPr>
      <w:r>
        <w:rPr>
          <w:rStyle w:val="FootnoteReference"/>
        </w:rPr>
        <w:footnoteRef/>
      </w:r>
      <w:r>
        <w:t xml:space="preserve"> </w:t>
      </w:r>
      <w:r w:rsidRPr="00F34E8F">
        <w:t>H1080, §1</w:t>
      </w:r>
      <w:r w:rsidRPr="00F34E8F">
        <w:t>.(e) and 1.(f); N.C. Gen. Stat. §§105-153.5(a)(2)b and 105-153.5(c2)(1) and (2).</w:t>
      </w:r>
    </w:p>
  </w:footnote>
  <w:footnote w:id="7">
    <w:p w14:paraId="2893077D" w14:textId="77777777" w:rsidR="00150929" w:rsidRDefault="00150929">
      <w:pPr>
        <w:pStyle w:val="FootnoteText"/>
      </w:pPr>
      <w:r>
        <w:rPr>
          <w:rStyle w:val="FootnoteReference"/>
        </w:rPr>
        <w:footnoteRef/>
      </w:r>
      <w:r>
        <w:t xml:space="preserve"> </w:t>
      </w:r>
      <w:r w:rsidRPr="00F34E8F">
        <w:t xml:space="preserve">H1080, </w:t>
      </w:r>
      <w:r>
        <w:t>§</w:t>
      </w:r>
      <w:r w:rsidRPr="00F34E8F">
        <w:t>§1</w:t>
      </w:r>
      <w:r w:rsidRPr="00F34E8F">
        <w:t>.(c)</w:t>
      </w:r>
      <w:r>
        <w:t xml:space="preserve"> and 1.(f)</w:t>
      </w:r>
      <w:r w:rsidRPr="00F34E8F">
        <w:t>; N.C. Gen. Stat. §105-130.5(a)(31) and 105-153.5(c2)(1</w:t>
      </w:r>
      <w:r>
        <w:t>7</w:t>
      </w:r>
      <w:r w:rsidRPr="00F34E8F">
        <w:t>).</w:t>
      </w:r>
    </w:p>
  </w:footnote>
  <w:footnote w:id="8">
    <w:p w14:paraId="2B93093F" w14:textId="77777777" w:rsidR="00150929" w:rsidRDefault="00150929">
      <w:pPr>
        <w:pStyle w:val="FootnoteText"/>
      </w:pPr>
      <w:r>
        <w:rPr>
          <w:rStyle w:val="FootnoteReference"/>
        </w:rPr>
        <w:footnoteRef/>
      </w:r>
      <w:r>
        <w:t xml:space="preserve"> </w:t>
      </w:r>
      <w:r w:rsidRPr="00F34E8F">
        <w:t>H1080, §1</w:t>
      </w:r>
      <w:r w:rsidRPr="00F34E8F">
        <w:t>.(d); N.C. Gen. Stat. §105-153.5(a)(2)a.</w:t>
      </w:r>
    </w:p>
  </w:footnote>
  <w:footnote w:id="9">
    <w:p w14:paraId="42D690A0" w14:textId="77777777" w:rsidR="00150929" w:rsidRDefault="00150929">
      <w:pPr>
        <w:pStyle w:val="FootnoteText"/>
      </w:pPr>
      <w:r>
        <w:rPr>
          <w:rStyle w:val="FootnoteReference"/>
        </w:rPr>
        <w:footnoteRef/>
      </w:r>
      <w:r>
        <w:t xml:space="preserve"> </w:t>
      </w:r>
      <w:r w:rsidRPr="00F34E8F">
        <w:t>H1080, §1</w:t>
      </w:r>
      <w:r w:rsidRPr="00F34E8F">
        <w:t xml:space="preserve">.(f); N.C. Gen. Stat. §§105-153.5(c2)(8), (9) and (10). The addback requirement also applies to unabsorbed 2018, 2019 or 2020 NOL carrybacks that are carried forward to later carryback years. </w:t>
      </w:r>
      <w:r w:rsidRPr="00F34E8F">
        <w:rPr>
          <w:i/>
          <w:iCs/>
        </w:rPr>
        <w:t>See</w:t>
      </w:r>
      <w:r w:rsidRPr="00F34E8F">
        <w:t xml:space="preserve"> H1080, §1.(f); N.C. Gen. Stat. §105-153.5(c2)(11).</w:t>
      </w:r>
    </w:p>
  </w:footnote>
  <w:footnote w:id="10">
    <w:p w14:paraId="3C7722B1" w14:textId="77777777" w:rsidR="00150929" w:rsidRDefault="00150929">
      <w:pPr>
        <w:pStyle w:val="FootnoteText"/>
      </w:pPr>
      <w:r>
        <w:rPr>
          <w:rStyle w:val="FootnoteReference"/>
        </w:rPr>
        <w:footnoteRef/>
      </w:r>
      <w:r>
        <w:t xml:space="preserve"> </w:t>
      </w:r>
      <w:r w:rsidRPr="00F34E8F">
        <w:t>H1080, §1</w:t>
      </w:r>
      <w:r w:rsidRPr="00F34E8F">
        <w:t>.(f); N.C. Gen. Stat. §§105-153.5(c2)(14).</w:t>
      </w:r>
    </w:p>
  </w:footnote>
  <w:footnote w:id="11">
    <w:p w14:paraId="417AAE9A" w14:textId="77777777" w:rsidR="00150929" w:rsidRDefault="00150929">
      <w:pPr>
        <w:pStyle w:val="FootnoteText"/>
      </w:pPr>
      <w:r>
        <w:rPr>
          <w:rStyle w:val="FootnoteReference"/>
        </w:rPr>
        <w:footnoteRef/>
      </w:r>
      <w:r>
        <w:t xml:space="preserve"> </w:t>
      </w:r>
      <w:r w:rsidRPr="00F34E8F">
        <w:t>H1080, §1</w:t>
      </w:r>
      <w:r w:rsidRPr="00F34E8F">
        <w:t>.(f); N.C. Gen. Stat. §§105-153.5(c2)(13).</w:t>
      </w:r>
    </w:p>
  </w:footnote>
  <w:footnote w:id="12">
    <w:p w14:paraId="1A891CAB" w14:textId="77777777" w:rsidR="00150929" w:rsidRDefault="00150929">
      <w:pPr>
        <w:pStyle w:val="FootnoteText"/>
      </w:pPr>
      <w:r>
        <w:rPr>
          <w:rStyle w:val="FootnoteReference"/>
        </w:rPr>
        <w:footnoteRef/>
      </w:r>
      <w:r>
        <w:t xml:space="preserve"> </w:t>
      </w:r>
      <w:r w:rsidRPr="00F34E8F">
        <w:t>H1080, §1</w:t>
      </w:r>
      <w:r w:rsidRPr="00F34E8F">
        <w:t>.(f); N.C. Gen. Stat. §§105-153.5(c2)(16).</w:t>
      </w:r>
    </w:p>
  </w:footnote>
  <w:footnote w:id="13">
    <w:p w14:paraId="191D93FB" w14:textId="77777777" w:rsidR="00150929" w:rsidRDefault="00150929">
      <w:pPr>
        <w:pStyle w:val="FootnoteText"/>
      </w:pPr>
      <w:r>
        <w:rPr>
          <w:rStyle w:val="FootnoteReference"/>
        </w:rPr>
        <w:footnoteRef/>
      </w:r>
      <w:r>
        <w:t xml:space="preserve"> </w:t>
      </w:r>
      <w:r w:rsidRPr="00F34E8F">
        <w:t>H1080, §1</w:t>
      </w:r>
      <w:r w:rsidRPr="00F34E8F">
        <w:t>.(f); N.C. Gen. Stat. §105-153.5(c2)(18).</w:t>
      </w:r>
    </w:p>
  </w:footnote>
  <w:footnote w:id="14">
    <w:p w14:paraId="1EC2BF14" w14:textId="77777777" w:rsidR="00150929" w:rsidRDefault="00150929">
      <w:pPr>
        <w:pStyle w:val="FootnoteText"/>
      </w:pPr>
      <w:r>
        <w:rPr>
          <w:rStyle w:val="FootnoteReference"/>
        </w:rPr>
        <w:footnoteRef/>
      </w:r>
      <w:r>
        <w:t xml:space="preserve"> </w:t>
      </w:r>
      <w:r w:rsidRPr="00F34E8F">
        <w:t>H1080, §1</w:t>
      </w:r>
      <w:r w:rsidRPr="00F34E8F">
        <w:t>.(f); N.C. Gen. Stat. §§105-153.5(c2)(12).</w:t>
      </w:r>
    </w:p>
  </w:footnote>
  <w:footnote w:id="15">
    <w:p w14:paraId="30293344" w14:textId="77777777" w:rsidR="00150929" w:rsidRDefault="00150929">
      <w:pPr>
        <w:pStyle w:val="FootnoteText"/>
      </w:pPr>
      <w:r>
        <w:rPr>
          <w:rStyle w:val="FootnoteReference"/>
        </w:rPr>
        <w:footnoteRef/>
      </w:r>
      <w:r>
        <w:t xml:space="preserve"> </w:t>
      </w:r>
      <w:r w:rsidRPr="00F34E8F">
        <w:t>H1080, §1</w:t>
      </w:r>
      <w:r w:rsidRPr="00F34E8F">
        <w:t>.(f); N.C. Gen. Stat. §105-153.5(c2)(15).</w:t>
      </w:r>
    </w:p>
  </w:footnote>
  <w:footnote w:id="16">
    <w:p w14:paraId="37A078BE" w14:textId="77777777" w:rsidR="00150929" w:rsidRPr="00665267" w:rsidRDefault="00150929" w:rsidP="00E9428C">
      <w:pPr>
        <w:rPr>
          <w:sz w:val="20"/>
          <w:szCs w:val="20"/>
        </w:rPr>
      </w:pPr>
      <w:r w:rsidRPr="00665267">
        <w:rPr>
          <w:rStyle w:val="FootnoteReference"/>
          <w:sz w:val="20"/>
          <w:szCs w:val="20"/>
        </w:rPr>
        <w:footnoteRef/>
      </w:r>
      <w:r w:rsidRPr="00665267">
        <w:rPr>
          <w:sz w:val="20"/>
          <w:szCs w:val="20"/>
        </w:rPr>
        <w:t xml:space="preserve"> H1080, §1</w:t>
      </w:r>
      <w:r w:rsidRPr="00665267">
        <w:rPr>
          <w:sz w:val="20"/>
          <w:szCs w:val="20"/>
        </w:rPr>
        <w:t>.(f); N.C. Gen. Stat. §105-153.5(c2)(19).</w:t>
      </w:r>
    </w:p>
  </w:footnote>
  <w:footnote w:id="17">
    <w:p w14:paraId="2244DDFA" w14:textId="77777777" w:rsidR="00150929" w:rsidRPr="00665267" w:rsidRDefault="00150929">
      <w:pPr>
        <w:pStyle w:val="FootnoteText"/>
      </w:pPr>
      <w:r w:rsidRPr="00665267">
        <w:rPr>
          <w:rStyle w:val="FootnoteReference"/>
        </w:rPr>
        <w:footnoteRef/>
      </w:r>
      <w:r w:rsidRPr="00665267">
        <w:t xml:space="preserve"> </w:t>
      </w:r>
      <w:r w:rsidRPr="00665267">
        <w:rPr>
          <w:i/>
          <w:iCs/>
        </w:rPr>
        <w:t>See</w:t>
      </w:r>
      <w:r w:rsidRPr="00665267">
        <w:t xml:space="preserve"> Senate Bill 3612, which was introduced in Congress on May 5, 2020.</w:t>
      </w:r>
    </w:p>
  </w:footnote>
  <w:footnote w:id="18">
    <w:p w14:paraId="47048833" w14:textId="77777777" w:rsidR="00150929" w:rsidRPr="00665267" w:rsidRDefault="00150929" w:rsidP="00665267">
      <w:pPr>
        <w:spacing w:after="0"/>
        <w:rPr>
          <w:sz w:val="20"/>
          <w:szCs w:val="20"/>
        </w:rPr>
      </w:pPr>
      <w:r w:rsidRPr="00665267">
        <w:rPr>
          <w:rStyle w:val="FootnoteReference"/>
          <w:sz w:val="20"/>
          <w:szCs w:val="20"/>
        </w:rPr>
        <w:footnoteRef/>
      </w:r>
      <w:r w:rsidRPr="00665267">
        <w:rPr>
          <w:sz w:val="20"/>
          <w:szCs w:val="20"/>
        </w:rPr>
        <w:t xml:space="preserve"> H1080, §1</w:t>
      </w:r>
      <w:r w:rsidRPr="00665267">
        <w:rPr>
          <w:sz w:val="20"/>
          <w:szCs w:val="20"/>
        </w:rPr>
        <w:t>.(c) and (f); N.C. Gen. Stat. §§105-130.5(a)(32) and 105-153.5(c2)(20).</w:t>
      </w:r>
    </w:p>
  </w:footnote>
  <w:footnote w:id="19">
    <w:p w14:paraId="13E9F834" w14:textId="77777777" w:rsidR="00150929" w:rsidRPr="00665267" w:rsidRDefault="00150929" w:rsidP="00665267">
      <w:pPr>
        <w:pStyle w:val="FootnoteText"/>
      </w:pPr>
      <w:r w:rsidRPr="00665267">
        <w:rPr>
          <w:rStyle w:val="FootnoteReference"/>
        </w:rPr>
        <w:footnoteRef/>
      </w:r>
      <w:r w:rsidRPr="00665267">
        <w:t xml:space="preserve"> H.1080, §7.1; N.C. Gen. Stat. §105-269.8(c).</w:t>
      </w:r>
    </w:p>
  </w:footnote>
  <w:footnote w:id="20">
    <w:p w14:paraId="11E3970B" w14:textId="77777777" w:rsidR="00150929" w:rsidRPr="00665267" w:rsidRDefault="00150929">
      <w:pPr>
        <w:pStyle w:val="FootnoteText"/>
      </w:pPr>
      <w:r w:rsidRPr="00665267">
        <w:rPr>
          <w:rStyle w:val="FootnoteReference"/>
        </w:rPr>
        <w:footnoteRef/>
      </w:r>
      <w:r w:rsidRPr="00665267">
        <w:t xml:space="preserve"> H1080, §4.3; N.C. Gen. Stat. §105-154(d).</w:t>
      </w:r>
    </w:p>
  </w:footnote>
  <w:footnote w:id="21">
    <w:p w14:paraId="632644A8" w14:textId="77777777" w:rsidR="00150929" w:rsidRPr="00665267" w:rsidRDefault="00150929">
      <w:pPr>
        <w:pStyle w:val="FootnoteText"/>
      </w:pPr>
      <w:r w:rsidRPr="00665267">
        <w:rPr>
          <w:rStyle w:val="FootnoteReference"/>
        </w:rPr>
        <w:footnoteRef/>
      </w:r>
      <w:r w:rsidRPr="00665267">
        <w:t xml:space="preserve"> H1080, §10.</w:t>
      </w:r>
    </w:p>
  </w:footnote>
  <w:footnote w:id="22">
    <w:p w14:paraId="4E24BBB2" w14:textId="77777777" w:rsidR="00150929" w:rsidRPr="00665267" w:rsidRDefault="00150929">
      <w:pPr>
        <w:pStyle w:val="FootnoteText"/>
      </w:pPr>
      <w:r w:rsidRPr="00665267">
        <w:rPr>
          <w:rStyle w:val="FootnoteReference"/>
        </w:rPr>
        <w:footnoteRef/>
      </w:r>
      <w:r w:rsidRPr="00665267">
        <w:t xml:space="preserve"> </w:t>
      </w:r>
      <w:r w:rsidRPr="00665267">
        <w:rPr>
          <w:i/>
          <w:iCs/>
        </w:rPr>
        <w:t>See</w:t>
      </w:r>
      <w:r w:rsidRPr="00665267">
        <w:t xml:space="preserve"> N.C. Gen. Stat. §105-122(b</w:t>
      </w:r>
      <w:r w:rsidRPr="00665267">
        <w:t>)(2).</w:t>
      </w:r>
    </w:p>
  </w:footnote>
  <w:footnote w:id="23">
    <w:p w14:paraId="72416D42" w14:textId="77777777" w:rsidR="00150929" w:rsidRPr="00665267" w:rsidRDefault="00150929">
      <w:pPr>
        <w:pStyle w:val="FootnoteText"/>
      </w:pPr>
      <w:r w:rsidRPr="00665267">
        <w:rPr>
          <w:rStyle w:val="FootnoteReference"/>
        </w:rPr>
        <w:footnoteRef/>
      </w:r>
      <w:r w:rsidRPr="00665267">
        <w:t xml:space="preserve"> </w:t>
      </w:r>
      <w:r w:rsidRPr="00665267">
        <w:rPr>
          <w:i/>
          <w:iCs/>
        </w:rPr>
        <w:t>See</w:t>
      </w:r>
      <w:r w:rsidRPr="00665267">
        <w:t xml:space="preserve"> N. C Gen. Stat. §105-130.7B.</w:t>
      </w:r>
    </w:p>
  </w:footnote>
  <w:footnote w:id="24">
    <w:p w14:paraId="530975C3" w14:textId="77777777" w:rsidR="00150929" w:rsidRPr="00665267" w:rsidRDefault="00150929">
      <w:pPr>
        <w:pStyle w:val="FootnoteText"/>
      </w:pPr>
      <w:r w:rsidRPr="00665267">
        <w:rPr>
          <w:rStyle w:val="FootnoteReference"/>
        </w:rPr>
        <w:footnoteRef/>
      </w:r>
      <w:r w:rsidRPr="00665267">
        <w:t xml:space="preserve"> H1080, §5.1.</w:t>
      </w:r>
    </w:p>
  </w:footnote>
  <w:footnote w:id="25">
    <w:p w14:paraId="2CF78C30" w14:textId="77777777" w:rsidR="00150929" w:rsidRPr="00665267" w:rsidRDefault="00150929">
      <w:pPr>
        <w:pStyle w:val="FootnoteText"/>
      </w:pPr>
      <w:r w:rsidRPr="00665267">
        <w:rPr>
          <w:rStyle w:val="FootnoteReference"/>
        </w:rPr>
        <w:footnoteRef/>
      </w:r>
      <w:r w:rsidRPr="00665267">
        <w:t xml:space="preserve"> H1080, §5.1</w:t>
      </w:r>
      <w:r w:rsidRPr="00665267">
        <w:t>.(b).</w:t>
      </w:r>
    </w:p>
  </w:footnote>
  <w:footnote w:id="26">
    <w:p w14:paraId="2FC9D8D1" w14:textId="77777777" w:rsidR="00150929" w:rsidRPr="00665267" w:rsidRDefault="00150929">
      <w:pPr>
        <w:pStyle w:val="FootnoteText"/>
      </w:pPr>
      <w:r w:rsidRPr="00665267">
        <w:rPr>
          <w:rStyle w:val="FootnoteReference"/>
        </w:rPr>
        <w:footnoteRef/>
      </w:r>
      <w:r w:rsidRPr="00665267">
        <w:t xml:space="preserve"> H1080, §5.4; N.C. Gen. Stat. §105-</w:t>
      </w:r>
      <w:r w:rsidRPr="00665267">
        <w:t>130A(k).</w:t>
      </w:r>
    </w:p>
  </w:footnote>
  <w:footnote w:id="27">
    <w:p w14:paraId="6D8F996C" w14:textId="77777777" w:rsidR="00150929" w:rsidRPr="00665267" w:rsidRDefault="00150929" w:rsidP="00665267">
      <w:pPr>
        <w:pStyle w:val="FootnoteText"/>
      </w:pPr>
      <w:r w:rsidRPr="00665267">
        <w:rPr>
          <w:rStyle w:val="FootnoteReference"/>
        </w:rPr>
        <w:footnoteRef/>
      </w:r>
      <w:r w:rsidRPr="00665267">
        <w:t xml:space="preserve"> </w:t>
      </w:r>
      <w:r w:rsidRPr="00665267">
        <w:rPr>
          <w:i/>
          <w:iCs/>
        </w:rPr>
        <w:t>See</w:t>
      </w:r>
      <w:r w:rsidRPr="00665267">
        <w:t xml:space="preserve"> N.C. Gen. Stat. §105-164.14(b)</w:t>
      </w:r>
      <w:r>
        <w:t xml:space="preserve"> and (c)</w:t>
      </w:r>
      <w:r w:rsidRPr="00665267">
        <w:t>.</w:t>
      </w:r>
    </w:p>
  </w:footnote>
  <w:footnote w:id="28">
    <w:p w14:paraId="38FDB9B9" w14:textId="77777777" w:rsidR="00150929" w:rsidRPr="00665267" w:rsidRDefault="00150929" w:rsidP="00665267">
      <w:pPr>
        <w:spacing w:after="0"/>
        <w:rPr>
          <w:sz w:val="20"/>
          <w:szCs w:val="20"/>
        </w:rPr>
      </w:pPr>
      <w:r w:rsidRPr="00665267">
        <w:rPr>
          <w:rStyle w:val="FootnoteReference"/>
          <w:sz w:val="20"/>
          <w:szCs w:val="20"/>
        </w:rPr>
        <w:footnoteRef/>
      </w:r>
      <w:r w:rsidRPr="00665267">
        <w:rPr>
          <w:sz w:val="20"/>
          <w:szCs w:val="20"/>
        </w:rPr>
        <w:t xml:space="preserve"> H1080, §3.1.</w:t>
      </w:r>
    </w:p>
  </w:footnote>
  <w:footnote w:id="29">
    <w:p w14:paraId="78CAC0DA" w14:textId="77777777" w:rsidR="00150929" w:rsidRPr="00665267" w:rsidRDefault="00150929" w:rsidP="00665267">
      <w:pPr>
        <w:pStyle w:val="FootnoteText"/>
      </w:pPr>
      <w:r w:rsidRPr="00665267">
        <w:rPr>
          <w:rStyle w:val="FootnoteReference"/>
        </w:rPr>
        <w:footnoteRef/>
      </w:r>
      <w:r w:rsidRPr="00665267">
        <w:t xml:space="preserve"> N.C. Gen. Stat. §105-164.16(d).</w:t>
      </w:r>
    </w:p>
  </w:footnote>
  <w:footnote w:id="30">
    <w:p w14:paraId="15555273" w14:textId="77777777" w:rsidR="00150929" w:rsidRDefault="00150929">
      <w:pPr>
        <w:pStyle w:val="FootnoteText"/>
      </w:pPr>
      <w:r>
        <w:rPr>
          <w:rStyle w:val="FootnoteReference"/>
        </w:rPr>
        <w:footnoteRef/>
      </w:r>
      <w:r>
        <w:t xml:space="preserve"> </w:t>
      </w:r>
      <w:r w:rsidRPr="00F34E8F">
        <w:t>585 U.S. ___, 138 S. Ct. 2080 (2018).</w:t>
      </w:r>
    </w:p>
  </w:footnote>
  <w:footnote w:id="31">
    <w:p w14:paraId="0548C4F2" w14:textId="77777777" w:rsidR="00150929" w:rsidRDefault="00150929">
      <w:pPr>
        <w:pStyle w:val="FootnoteText"/>
      </w:pPr>
      <w:r>
        <w:rPr>
          <w:rStyle w:val="FootnoteReference"/>
        </w:rPr>
        <w:footnoteRef/>
      </w:r>
      <w:r>
        <w:t xml:space="preserve"> </w:t>
      </w:r>
      <w:r w:rsidRPr="00F34E8F">
        <w:t>H1080, §3.2.</w:t>
      </w:r>
    </w:p>
  </w:footnote>
  <w:footnote w:id="32">
    <w:p w14:paraId="53B8301C" w14:textId="77777777" w:rsidR="00150929" w:rsidRDefault="00150929">
      <w:pPr>
        <w:pStyle w:val="FootnoteText"/>
      </w:pPr>
      <w:r>
        <w:rPr>
          <w:rStyle w:val="FootnoteReference"/>
        </w:rPr>
        <w:footnoteRef/>
      </w:r>
      <w:r>
        <w:t xml:space="preserve"> </w:t>
      </w:r>
      <w:r w:rsidRPr="00F34E8F">
        <w:rPr>
          <w:i/>
          <w:iCs/>
        </w:rPr>
        <w:t>See</w:t>
      </w:r>
      <w:r w:rsidRPr="00F34E8F">
        <w:t xml:space="preserve"> N.C. Gen. Stat. §105-164.4J.</w:t>
      </w:r>
    </w:p>
  </w:footnote>
  <w:footnote w:id="33">
    <w:p w14:paraId="5C1A84DA" w14:textId="77777777" w:rsidR="00150929" w:rsidRDefault="00150929">
      <w:pPr>
        <w:pStyle w:val="FootnoteText"/>
      </w:pPr>
      <w:r>
        <w:rPr>
          <w:rStyle w:val="FootnoteReference"/>
        </w:rPr>
        <w:footnoteRef/>
      </w:r>
      <w:r>
        <w:t xml:space="preserve"> </w:t>
      </w:r>
      <w:r w:rsidRPr="00F34E8F">
        <w:t>H1080, §3.3</w:t>
      </w:r>
      <w:r w:rsidRPr="00F34E8F">
        <w:t>.(a).</w:t>
      </w:r>
    </w:p>
  </w:footnote>
  <w:footnote w:id="34">
    <w:p w14:paraId="00678181" w14:textId="77777777" w:rsidR="00150929" w:rsidRDefault="00150929">
      <w:pPr>
        <w:pStyle w:val="FootnoteText"/>
      </w:pPr>
      <w:r>
        <w:rPr>
          <w:rStyle w:val="FootnoteReference"/>
        </w:rPr>
        <w:footnoteRef/>
      </w:r>
      <w:r>
        <w:t xml:space="preserve"> </w:t>
      </w:r>
      <w:r w:rsidRPr="00F34E8F">
        <w:t>H1080, §3.3</w:t>
      </w:r>
      <w:r w:rsidRPr="00F34E8F">
        <w:t>.(b).</w:t>
      </w:r>
    </w:p>
  </w:footnote>
  <w:footnote w:id="35">
    <w:p w14:paraId="1DDFF154" w14:textId="77777777" w:rsidR="00150929" w:rsidRDefault="00150929">
      <w:pPr>
        <w:pStyle w:val="FootnoteText"/>
      </w:pPr>
      <w:r>
        <w:rPr>
          <w:rStyle w:val="FootnoteReference"/>
        </w:rPr>
        <w:footnoteRef/>
      </w:r>
      <w:r>
        <w:t xml:space="preserve"> </w:t>
      </w:r>
      <w:r w:rsidRPr="00F34E8F">
        <w:t>H1080, §3.5; N.C. Gen. Stat. §§153A-154.1 and 160A-214.1.</w:t>
      </w:r>
    </w:p>
  </w:footnote>
  <w:footnote w:id="36">
    <w:p w14:paraId="3339F796" w14:textId="77777777" w:rsidR="00150929" w:rsidRDefault="00150929">
      <w:pPr>
        <w:pStyle w:val="FootnoteText"/>
      </w:pPr>
      <w:r>
        <w:rPr>
          <w:rStyle w:val="FootnoteReference"/>
        </w:rPr>
        <w:footnoteRef/>
      </w:r>
      <w:r>
        <w:t xml:space="preserve"> </w:t>
      </w:r>
      <w:r w:rsidRPr="00F34E8F">
        <w:t>H1080, §3.5</w:t>
      </w:r>
      <w:r w:rsidRPr="00F34E8F">
        <w:t>.(c).</w:t>
      </w:r>
    </w:p>
  </w:footnote>
  <w:footnote w:id="37">
    <w:p w14:paraId="51DC1613" w14:textId="77777777" w:rsidR="00150929" w:rsidRDefault="00150929" w:rsidP="001707A9">
      <w:pPr>
        <w:pStyle w:val="FootnoteText"/>
      </w:pPr>
      <w:r>
        <w:rPr>
          <w:rStyle w:val="FootnoteReference"/>
        </w:rPr>
        <w:footnoteRef/>
      </w:r>
      <w:r>
        <w:t xml:space="preserve"> S.L. 2020-6.</w:t>
      </w:r>
    </w:p>
  </w:footnote>
  <w:footnote w:id="38">
    <w:p w14:paraId="0347B5EA" w14:textId="77777777" w:rsidR="00150929" w:rsidRDefault="00150929" w:rsidP="001707A9">
      <w:pPr>
        <w:pStyle w:val="FootnoteText"/>
      </w:pPr>
      <w:r>
        <w:rPr>
          <w:rStyle w:val="FootnoteReference"/>
        </w:rPr>
        <w:footnoteRef/>
      </w:r>
      <w:r>
        <w:t xml:space="preserve"> H1079, §1; N.C. Gen. Stat. §§105-</w:t>
      </w:r>
      <w:r>
        <w:t>164.13E(a)(7) and 105-164.3.</w:t>
      </w:r>
    </w:p>
  </w:footnote>
  <w:footnote w:id="39">
    <w:p w14:paraId="711A91C5" w14:textId="77777777" w:rsidR="00150929" w:rsidRDefault="00150929" w:rsidP="001707A9">
      <w:pPr>
        <w:pStyle w:val="FootnoteText"/>
      </w:pPr>
      <w:r>
        <w:rPr>
          <w:rStyle w:val="FootnoteReference"/>
        </w:rPr>
        <w:footnoteRef/>
      </w:r>
      <w:r>
        <w:t xml:space="preserve"> H1079, §1</w:t>
      </w:r>
      <w:r>
        <w:t>.(e).</w:t>
      </w:r>
    </w:p>
  </w:footnote>
  <w:footnote w:id="40">
    <w:p w14:paraId="23572284" w14:textId="77777777" w:rsidR="0067219E" w:rsidRDefault="0067219E" w:rsidP="0067219E">
      <w:pPr>
        <w:pStyle w:val="FootnoteText"/>
      </w:pPr>
      <w:r>
        <w:rPr>
          <w:rStyle w:val="FootnoteReference"/>
        </w:rPr>
        <w:footnoteRef/>
      </w:r>
      <w:r>
        <w:t xml:space="preserve"> H1079, §1</w:t>
      </w:r>
      <w:r>
        <w:t>.(d).</w:t>
      </w:r>
    </w:p>
  </w:footnote>
  <w:footnote w:id="41">
    <w:p w14:paraId="60D3D461" w14:textId="77777777" w:rsidR="00150929" w:rsidRDefault="00150929" w:rsidP="00150929">
      <w:pPr>
        <w:pStyle w:val="FootnoteText"/>
      </w:pPr>
      <w:r>
        <w:rPr>
          <w:rStyle w:val="FootnoteReference"/>
        </w:rPr>
        <w:footnoteRef/>
      </w:r>
      <w:r>
        <w:t xml:space="preserve"> N.C Gen. Stat. §105-164.13(4b).</w:t>
      </w:r>
    </w:p>
  </w:footnote>
  <w:footnote w:id="42">
    <w:p w14:paraId="39877072" w14:textId="77777777" w:rsidR="00150929" w:rsidRDefault="00150929" w:rsidP="00150929">
      <w:pPr>
        <w:pStyle w:val="FootnoteText"/>
      </w:pPr>
      <w:r>
        <w:rPr>
          <w:rStyle w:val="FootnoteReference"/>
        </w:rPr>
        <w:footnoteRef/>
      </w:r>
      <w:r>
        <w:t xml:space="preserve"> H1079, §1</w:t>
      </w:r>
      <w:r>
        <w:t>.(c).</w:t>
      </w:r>
    </w:p>
  </w:footnote>
  <w:footnote w:id="43">
    <w:p w14:paraId="1BF18BC6" w14:textId="77777777" w:rsidR="00150929" w:rsidRDefault="00150929" w:rsidP="001707A9">
      <w:pPr>
        <w:pStyle w:val="FootnoteText"/>
      </w:pPr>
      <w:r>
        <w:rPr>
          <w:rStyle w:val="FootnoteReference"/>
        </w:rPr>
        <w:footnoteRef/>
      </w:r>
      <w:r>
        <w:t xml:space="preserve"> H1079, §2</w:t>
      </w:r>
      <w:r>
        <w:t>.(a).</w:t>
      </w:r>
    </w:p>
  </w:footnote>
  <w:footnote w:id="44">
    <w:p w14:paraId="1C8BF3EA" w14:textId="77777777" w:rsidR="00150929" w:rsidRDefault="00150929" w:rsidP="001707A9">
      <w:pPr>
        <w:pStyle w:val="FootnoteText"/>
      </w:pPr>
      <w:r>
        <w:rPr>
          <w:rStyle w:val="FootnoteReference"/>
        </w:rPr>
        <w:footnoteRef/>
      </w:r>
      <w:r>
        <w:t xml:space="preserve"> H1079, §2</w:t>
      </w:r>
      <w:r>
        <w:t>.(c).</w:t>
      </w:r>
    </w:p>
  </w:footnote>
  <w:footnote w:id="45">
    <w:p w14:paraId="40190856" w14:textId="77777777" w:rsidR="00150929" w:rsidRDefault="00150929" w:rsidP="001707A9">
      <w:pPr>
        <w:pStyle w:val="FootnoteText"/>
      </w:pPr>
      <w:r>
        <w:rPr>
          <w:rStyle w:val="FootnoteReference"/>
        </w:rPr>
        <w:footnoteRef/>
      </w:r>
      <w:r>
        <w:t xml:space="preserve"> H1079, §2</w:t>
      </w:r>
      <w:r>
        <w:t>.(b).</w:t>
      </w:r>
    </w:p>
  </w:footnote>
  <w:footnote w:id="46">
    <w:p w14:paraId="1B61AB27" w14:textId="77777777" w:rsidR="00150929" w:rsidRDefault="00150929" w:rsidP="009B2A63">
      <w:pPr>
        <w:pStyle w:val="FootnoteText"/>
      </w:pPr>
      <w:r>
        <w:rPr>
          <w:rStyle w:val="FootnoteReference"/>
        </w:rPr>
        <w:footnoteRef/>
      </w:r>
      <w:r>
        <w:t xml:space="preserve"> </w:t>
      </w:r>
      <w:r w:rsidRPr="00F34E8F">
        <w:t>H1080, §3.4; N.C. Gen. Stat. §105-164.4(a</w:t>
      </w:r>
      <w:r w:rsidRPr="00F34E8F">
        <w:t>)(1).</w:t>
      </w:r>
    </w:p>
  </w:footnote>
  <w:footnote w:id="47">
    <w:p w14:paraId="0CEFBDD4" w14:textId="77777777" w:rsidR="00150929" w:rsidRDefault="00150929" w:rsidP="009B2A63">
      <w:pPr>
        <w:pStyle w:val="FootnoteText"/>
      </w:pPr>
      <w:r>
        <w:rPr>
          <w:rStyle w:val="FootnoteReference"/>
        </w:rPr>
        <w:footnoteRef/>
      </w:r>
      <w:r>
        <w:t xml:space="preserve"> </w:t>
      </w:r>
      <w:r w:rsidRPr="00F34E8F">
        <w:t>H1080, §</w:t>
      </w:r>
      <w:r>
        <w:t>10</w:t>
      </w:r>
      <w:r w:rsidRPr="00F34E8F">
        <w:t>.</w:t>
      </w:r>
    </w:p>
  </w:footnote>
  <w:footnote w:id="48">
    <w:p w14:paraId="64522C81" w14:textId="77777777" w:rsidR="00150929" w:rsidRDefault="00150929" w:rsidP="001707A9">
      <w:pPr>
        <w:pStyle w:val="FootnoteText"/>
      </w:pPr>
      <w:r>
        <w:rPr>
          <w:rStyle w:val="FootnoteReference"/>
        </w:rPr>
        <w:footnoteRef/>
      </w:r>
      <w:r>
        <w:t xml:space="preserve"> </w:t>
      </w:r>
      <w:r w:rsidRPr="00665267">
        <w:rPr>
          <w:i/>
        </w:rPr>
        <w:t>See</w:t>
      </w:r>
      <w:r>
        <w:t xml:space="preserve"> S.L. 2019-169, §3.1</w:t>
      </w:r>
      <w:r>
        <w:t>.(b).</w:t>
      </w:r>
    </w:p>
  </w:footnote>
  <w:footnote w:id="49">
    <w:p w14:paraId="3F823D6F" w14:textId="77777777" w:rsidR="00150929" w:rsidRDefault="00150929" w:rsidP="001707A9">
      <w:pPr>
        <w:pStyle w:val="FootnoteText"/>
      </w:pPr>
      <w:r>
        <w:rPr>
          <w:rStyle w:val="FootnoteReference"/>
        </w:rPr>
        <w:footnoteRef/>
      </w:r>
      <w:r>
        <w:t xml:space="preserve"> H1079, §3</w:t>
      </w:r>
      <w:r>
        <w:t>.(a); N.C. Gen. Stat. §105-164.3(23).</w:t>
      </w:r>
    </w:p>
  </w:footnote>
  <w:footnote w:id="50">
    <w:p w14:paraId="027BACBC" w14:textId="77777777" w:rsidR="00150929" w:rsidRDefault="00150929" w:rsidP="001707A9">
      <w:pPr>
        <w:pStyle w:val="FootnoteText"/>
      </w:pPr>
      <w:r>
        <w:rPr>
          <w:rStyle w:val="FootnoteReference"/>
        </w:rPr>
        <w:footnoteRef/>
      </w:r>
      <w:r>
        <w:t xml:space="preserve"> H1079, §3</w:t>
      </w:r>
      <w:r>
        <w:t>.(a); N.C. Gen. Stat. §105-164.3(58).</w:t>
      </w:r>
    </w:p>
  </w:footnote>
  <w:footnote w:id="51">
    <w:p w14:paraId="5D9E60DE" w14:textId="77777777" w:rsidR="0067219E" w:rsidRDefault="0067219E">
      <w:pPr>
        <w:pStyle w:val="FootnoteText"/>
      </w:pPr>
      <w:r>
        <w:rPr>
          <w:rStyle w:val="FootnoteReference"/>
        </w:rPr>
        <w:footnoteRef/>
      </w:r>
      <w:r>
        <w:t xml:space="preserve"> H1079, §3</w:t>
      </w:r>
      <w:r>
        <w:t>.(d); N.C. Gen. Stat. §105-244A.</w:t>
      </w:r>
    </w:p>
  </w:footnote>
  <w:footnote w:id="52">
    <w:p w14:paraId="1FF703D0" w14:textId="77777777" w:rsidR="00150929" w:rsidRDefault="00150929" w:rsidP="001707A9">
      <w:pPr>
        <w:pStyle w:val="FootnoteText"/>
      </w:pPr>
      <w:r>
        <w:rPr>
          <w:rStyle w:val="FootnoteReference"/>
        </w:rPr>
        <w:footnoteRef/>
      </w:r>
      <w:r>
        <w:t xml:space="preserve"> H1079, §3</w:t>
      </w:r>
      <w:r>
        <w:t>.(b); N.C. Gen. Stat. §105-164.13(72).</w:t>
      </w:r>
      <w:r w:rsidR="0067219E">
        <w:t xml:space="preserve"> For the definition of a “qualifying education expense” </w:t>
      </w:r>
      <w:r w:rsidR="0067219E" w:rsidRPr="0067219E">
        <w:rPr>
          <w:i/>
        </w:rPr>
        <w:t>see</w:t>
      </w:r>
      <w:r w:rsidR="0067219E">
        <w:t xml:space="preserve"> </w:t>
      </w:r>
      <w:r w:rsidR="0067219E" w:rsidRPr="009B2A63">
        <w:rPr>
          <w:rFonts w:eastAsia="Times New Roman"/>
          <w:color w:val="000000"/>
        </w:rPr>
        <w:t>N.C. Gen. Stat. §115C-595(a)(3)</w:t>
      </w:r>
      <w:r w:rsidR="0067219E">
        <w:rPr>
          <w:rFonts w:eastAsia="Times New Roman"/>
          <w:color w:val="000000"/>
        </w:rPr>
        <w:t>.</w:t>
      </w:r>
    </w:p>
  </w:footnote>
  <w:footnote w:id="53">
    <w:p w14:paraId="625A00E7" w14:textId="77777777" w:rsidR="00150929" w:rsidRDefault="00150929" w:rsidP="001707A9">
      <w:pPr>
        <w:pStyle w:val="FootnoteText"/>
      </w:pPr>
      <w:r>
        <w:rPr>
          <w:rStyle w:val="FootnoteReference"/>
        </w:rPr>
        <w:footnoteRef/>
      </w:r>
      <w:r>
        <w:t xml:space="preserve"> H1079, §3</w:t>
      </w:r>
      <w:r>
        <w:t>.(b); N.C. Gen. Stat. §105-164.13(73).</w:t>
      </w:r>
    </w:p>
  </w:footnote>
  <w:footnote w:id="54">
    <w:p w14:paraId="31E17C8E" w14:textId="77777777" w:rsidR="00150929" w:rsidRDefault="00150929">
      <w:pPr>
        <w:pStyle w:val="FootnoteText"/>
      </w:pPr>
      <w:r>
        <w:rPr>
          <w:rStyle w:val="FootnoteReference"/>
        </w:rPr>
        <w:footnoteRef/>
      </w:r>
      <w:r>
        <w:t xml:space="preserve"> P.L. 105-277.</w:t>
      </w:r>
    </w:p>
  </w:footnote>
  <w:footnote w:id="55">
    <w:p w14:paraId="327416DF" w14:textId="77777777" w:rsidR="00150929" w:rsidRDefault="00150929" w:rsidP="001707A9">
      <w:pPr>
        <w:pStyle w:val="FootnoteText"/>
      </w:pPr>
      <w:r>
        <w:rPr>
          <w:rStyle w:val="FootnoteReference"/>
        </w:rPr>
        <w:footnoteRef/>
      </w:r>
      <w:r>
        <w:t xml:space="preserve"> H1079, §3</w:t>
      </w:r>
      <w:r>
        <w:t>.(e).</w:t>
      </w:r>
    </w:p>
  </w:footnote>
  <w:footnote w:id="56">
    <w:p w14:paraId="2A9E4733" w14:textId="77777777" w:rsidR="00150929" w:rsidRDefault="00150929">
      <w:pPr>
        <w:pStyle w:val="FootnoteText"/>
      </w:pPr>
      <w:r>
        <w:rPr>
          <w:rStyle w:val="FootnoteReference"/>
        </w:rPr>
        <w:footnoteRef/>
      </w:r>
      <w:r>
        <w:t xml:space="preserve"> H1080, §7.4; N.C. Gen. Stat. §143B-437.62.</w:t>
      </w:r>
    </w:p>
  </w:footnote>
  <w:footnote w:id="57">
    <w:p w14:paraId="151E2F5F" w14:textId="77777777" w:rsidR="00150929" w:rsidRDefault="00150929">
      <w:pPr>
        <w:pStyle w:val="FootnoteText"/>
      </w:pPr>
      <w:r>
        <w:rPr>
          <w:rStyle w:val="FootnoteReference"/>
        </w:rPr>
        <w:footnoteRef/>
      </w:r>
      <w:r>
        <w:t xml:space="preserve"> H1080, §8; N.C. Gen. Stat. 58-6-25(b).</w:t>
      </w:r>
    </w:p>
  </w:footnote>
  <w:footnote w:id="58">
    <w:p w14:paraId="420BF9B2" w14:textId="77777777" w:rsidR="00150929" w:rsidRDefault="00150929">
      <w:pPr>
        <w:pStyle w:val="FootnoteText"/>
      </w:pPr>
      <w:r>
        <w:rPr>
          <w:rStyle w:val="FootnoteReference"/>
        </w:rPr>
        <w:footnoteRef/>
      </w:r>
      <w:r>
        <w:t xml:space="preserve"> S808, §§16</w:t>
      </w:r>
      <w:r>
        <w:t>.(b), (c) and (d); N.C. Gen. Stat. §§105-228.3(2) and (6), 105-228.5 and 58-6-25.</w:t>
      </w:r>
    </w:p>
  </w:footnote>
  <w:footnote w:id="59">
    <w:p w14:paraId="6077059E" w14:textId="77777777" w:rsidR="00150929" w:rsidRDefault="00150929">
      <w:pPr>
        <w:pStyle w:val="FootnoteText"/>
      </w:pPr>
      <w:r>
        <w:rPr>
          <w:rStyle w:val="FootnoteReference"/>
        </w:rPr>
        <w:footnoteRef/>
      </w:r>
      <w:r>
        <w:t xml:space="preserve"> S808, §16</w:t>
      </w:r>
      <w:r>
        <w:t>.(f).</w:t>
      </w:r>
    </w:p>
  </w:footnote>
  <w:footnote w:id="60">
    <w:p w14:paraId="511F6413" w14:textId="77777777" w:rsidR="00150929" w:rsidRDefault="00150929" w:rsidP="001707A9">
      <w:pPr>
        <w:pStyle w:val="FootnoteText"/>
      </w:pPr>
      <w:r>
        <w:rPr>
          <w:rStyle w:val="FootnoteReference"/>
        </w:rPr>
        <w:footnoteRef/>
      </w:r>
      <w:r>
        <w:t xml:space="preserve"> S.L. 2020-18.</w:t>
      </w:r>
    </w:p>
  </w:footnote>
  <w:footnote w:id="61">
    <w:p w14:paraId="3C4F1966" w14:textId="77777777" w:rsidR="00150929" w:rsidRDefault="00150929" w:rsidP="001707A9">
      <w:pPr>
        <w:pStyle w:val="FootnoteText"/>
      </w:pPr>
      <w:r>
        <w:rPr>
          <w:rStyle w:val="FootnoteReference"/>
        </w:rPr>
        <w:footnoteRef/>
      </w:r>
      <w:r>
        <w:t xml:space="preserve"> S315, §8; N.C. Gen. Stat. §105-277.4(b1).</w:t>
      </w:r>
    </w:p>
  </w:footnote>
  <w:footnote w:id="62">
    <w:p w14:paraId="418E387E" w14:textId="77777777" w:rsidR="00150929" w:rsidRDefault="00150929" w:rsidP="001707A9">
      <w:pPr>
        <w:pStyle w:val="FootnoteText"/>
      </w:pPr>
      <w:r>
        <w:rPr>
          <w:rStyle w:val="FootnoteReference"/>
        </w:rPr>
        <w:footnoteRef/>
      </w:r>
      <w:r>
        <w:t xml:space="preserve"> S315, §16</w:t>
      </w:r>
      <w:r>
        <w:t>.(b).</w:t>
      </w:r>
    </w:p>
  </w:footnote>
  <w:footnote w:id="63">
    <w:p w14:paraId="081A1CD5" w14:textId="77777777" w:rsidR="00150929" w:rsidRDefault="00150929" w:rsidP="001707A9">
      <w:pPr>
        <w:pStyle w:val="FootnoteText"/>
      </w:pPr>
      <w:r>
        <w:rPr>
          <w:rStyle w:val="FootnoteReference"/>
        </w:rPr>
        <w:footnoteRef/>
      </w:r>
      <w:r>
        <w:t xml:space="preserve"> 17 CVS 153 (November 19, 2019).</w:t>
      </w:r>
    </w:p>
  </w:footnote>
  <w:footnote w:id="64">
    <w:p w14:paraId="6CD0CFCC" w14:textId="77777777" w:rsidR="00150929" w:rsidRDefault="00150929" w:rsidP="00665267">
      <w:pPr>
        <w:pStyle w:val="FootnoteText"/>
      </w:pPr>
      <w:r>
        <w:rPr>
          <w:rStyle w:val="FootnoteReference"/>
        </w:rPr>
        <w:footnoteRef/>
      </w:r>
      <w:r>
        <w:t xml:space="preserve"> </w:t>
      </w:r>
      <w:r w:rsidRPr="008B2FD1">
        <w:rPr>
          <w:rFonts w:cs="Times New Roman"/>
          <w:i/>
          <w:iCs/>
          <w:color w:val="333333"/>
          <w:szCs w:val="24"/>
        </w:rPr>
        <w:t>See</w:t>
      </w:r>
      <w:r w:rsidRPr="008B2FD1">
        <w:rPr>
          <w:rFonts w:cs="Times New Roman"/>
          <w:color w:val="333333"/>
          <w:szCs w:val="24"/>
        </w:rPr>
        <w:t> N.C. Gen. Stat. §105-356(a).</w:t>
      </w:r>
    </w:p>
  </w:footnote>
  <w:footnote w:id="65">
    <w:p w14:paraId="21C0BCB2" w14:textId="77777777" w:rsidR="00150929" w:rsidRDefault="00150929" w:rsidP="00665267">
      <w:pPr>
        <w:pStyle w:val="FootnoteText"/>
      </w:pPr>
      <w:r>
        <w:rPr>
          <w:rStyle w:val="FootnoteReference"/>
        </w:rPr>
        <w:footnoteRef/>
      </w:r>
      <w:r>
        <w:t xml:space="preserve"> </w:t>
      </w:r>
      <w:r w:rsidRPr="008B2FD1">
        <w:rPr>
          <w:rFonts w:cs="Times New Roman"/>
          <w:color w:val="333333"/>
          <w:szCs w:val="24"/>
        </w:rPr>
        <w:t>S.L. 2020-3, §1.4</w:t>
      </w:r>
      <w:r w:rsidRPr="008B2FD1">
        <w:rPr>
          <w:rFonts w:cs="Times New Roman"/>
          <w:color w:val="333333"/>
          <w:szCs w:val="24"/>
        </w:rPr>
        <w:t>.(b).</w:t>
      </w:r>
    </w:p>
  </w:footnote>
  <w:footnote w:id="66">
    <w:p w14:paraId="7A13CE9B" w14:textId="77777777" w:rsidR="00150929" w:rsidRDefault="00150929" w:rsidP="00665267">
      <w:pPr>
        <w:pStyle w:val="FootnoteText"/>
      </w:pPr>
      <w:r>
        <w:rPr>
          <w:rStyle w:val="FootnoteReference"/>
        </w:rPr>
        <w:footnoteRef/>
      </w:r>
      <w:r>
        <w:t xml:space="preserve"> </w:t>
      </w:r>
      <w:r w:rsidRPr="00665267">
        <w:rPr>
          <w:i/>
        </w:rPr>
        <w:t>See</w:t>
      </w:r>
      <w:r>
        <w:t xml:space="preserve"> H77, §4.2.</w:t>
      </w:r>
    </w:p>
  </w:footnote>
  <w:footnote w:id="67">
    <w:p w14:paraId="64E9F742" w14:textId="77777777" w:rsidR="00150929" w:rsidRDefault="00150929">
      <w:pPr>
        <w:pStyle w:val="FootnoteText"/>
      </w:pPr>
      <w:r>
        <w:rPr>
          <w:rStyle w:val="FootnoteReference"/>
        </w:rPr>
        <w:footnoteRef/>
      </w:r>
      <w:r>
        <w:t xml:space="preserve"> S.L. 2019-246, §8.1.</w:t>
      </w:r>
    </w:p>
  </w:footnote>
  <w:footnote w:id="68">
    <w:p w14:paraId="7EBF8EFE" w14:textId="77777777" w:rsidR="00150929" w:rsidRDefault="00150929">
      <w:pPr>
        <w:pStyle w:val="FootnoteText"/>
      </w:pPr>
      <w:r>
        <w:rPr>
          <w:rStyle w:val="FootnoteReference"/>
        </w:rPr>
        <w:footnoteRef/>
      </w:r>
      <w:r>
        <w:t xml:space="preserve"> H1080, §6.6.</w:t>
      </w:r>
    </w:p>
  </w:footnote>
  <w:footnote w:id="69">
    <w:p w14:paraId="15DD9552" w14:textId="77777777" w:rsidR="00150929" w:rsidRDefault="00150929">
      <w:pPr>
        <w:pStyle w:val="FootnoteText"/>
      </w:pPr>
      <w:r>
        <w:rPr>
          <w:rStyle w:val="FootnoteReference"/>
        </w:rPr>
        <w:footnoteRef/>
      </w:r>
      <w:r>
        <w:t xml:space="preserve"> </w:t>
      </w:r>
      <w:r w:rsidRPr="00F34E8F">
        <w:t>H1080, §6.1; N.C. Gen. Stat. §105-236.1(a</w:t>
      </w:r>
      <w:r w:rsidRPr="00F34E8F">
        <w:t>)(3).</w:t>
      </w:r>
    </w:p>
  </w:footnote>
  <w:footnote w:id="70">
    <w:p w14:paraId="70B625C1" w14:textId="77777777" w:rsidR="00150929" w:rsidRDefault="00150929">
      <w:pPr>
        <w:pStyle w:val="FootnoteText"/>
      </w:pPr>
      <w:r>
        <w:rPr>
          <w:rStyle w:val="FootnoteReference"/>
        </w:rPr>
        <w:footnoteRef/>
      </w:r>
      <w:r>
        <w:t xml:space="preserve"> </w:t>
      </w:r>
      <w:r w:rsidRPr="00F34E8F">
        <w:t>H1080, §6.2; N.C. Gen. Stat. §105-241.8(b</w:t>
      </w:r>
      <w:r w:rsidRPr="00F34E8F">
        <w:t>)(2</w:t>
      </w:r>
      <w:r>
        <w:t>a</w:t>
      </w:r>
      <w:r w:rsidRPr="00F34E8F">
        <w:t>).</w:t>
      </w:r>
    </w:p>
  </w:footnote>
  <w:footnote w:id="71">
    <w:p w14:paraId="16D35B72" w14:textId="77777777" w:rsidR="00150929" w:rsidRDefault="00150929">
      <w:pPr>
        <w:pStyle w:val="FootnoteText"/>
      </w:pPr>
      <w:r>
        <w:rPr>
          <w:rStyle w:val="FootnoteReference"/>
        </w:rPr>
        <w:footnoteRef/>
      </w:r>
      <w:r>
        <w:t xml:space="preserve"> </w:t>
      </w:r>
      <w:r w:rsidRPr="00F34E8F">
        <w:t>H1080, §6.3; N.C. Gen. Stat. §105-242.2.</w:t>
      </w:r>
    </w:p>
  </w:footnote>
  <w:footnote w:id="72">
    <w:p w14:paraId="4567E17B" w14:textId="77777777" w:rsidR="00150929" w:rsidRDefault="00150929">
      <w:pPr>
        <w:pStyle w:val="FootnoteText"/>
      </w:pPr>
      <w:r>
        <w:rPr>
          <w:rStyle w:val="FootnoteReference"/>
        </w:rPr>
        <w:footnoteRef/>
      </w:r>
      <w:r>
        <w:t xml:space="preserve"> </w:t>
      </w:r>
      <w:r w:rsidRPr="00F34E8F">
        <w:rPr>
          <w:i/>
          <w:iCs/>
        </w:rPr>
        <w:t>See General Assembly Legislative Analysis Division</w:t>
      </w:r>
      <w:r w:rsidRPr="00F34E8F">
        <w:t>, Analysis of 2019-BAxfz-22A (May 13, 2020), at 8-9.</w:t>
      </w:r>
    </w:p>
  </w:footnote>
  <w:footnote w:id="73">
    <w:p w14:paraId="3D4206F2" w14:textId="77777777" w:rsidR="00150929" w:rsidRPr="00665267" w:rsidRDefault="00150929">
      <w:pPr>
        <w:pStyle w:val="FootnoteText"/>
      </w:pPr>
      <w:r>
        <w:rPr>
          <w:rStyle w:val="FootnoteReference"/>
        </w:rPr>
        <w:footnoteRef/>
      </w:r>
      <w:r>
        <w:t xml:space="preserve"> </w:t>
      </w:r>
      <w:r w:rsidRPr="00665267">
        <w:t xml:space="preserve">H1080, §6.4; N.C. Gen. Stat. §105-243.1(d). The statute also requires the Department to mail a notice to the taxpayer stating that the collection assistance fee will be imposed. In 2019, the General Assembly amended this section to permit the Department to mail the notice 60 days (rather that just 30 days) before the date the fee could be imposed. </w:t>
      </w:r>
      <w:r w:rsidRPr="00665267">
        <w:rPr>
          <w:i/>
          <w:iCs/>
        </w:rPr>
        <w:t>See</w:t>
      </w:r>
      <w:r w:rsidRPr="00665267">
        <w:t xml:space="preserve"> S523, S.L. 2019-169, §5.1. H1080 also amends the effective date of the 2019 change to conform to the August 1, 2020 date of the current bill. Thus, the Department can include the fee notice in the collection notice.</w:t>
      </w:r>
    </w:p>
  </w:footnote>
  <w:footnote w:id="74">
    <w:p w14:paraId="291154E5" w14:textId="77777777" w:rsidR="00150929" w:rsidRPr="00665267" w:rsidRDefault="00150929">
      <w:pPr>
        <w:pStyle w:val="FootnoteText"/>
      </w:pPr>
      <w:r w:rsidRPr="00665267">
        <w:rPr>
          <w:rStyle w:val="FootnoteReference"/>
        </w:rPr>
        <w:footnoteRef/>
      </w:r>
      <w:r w:rsidRPr="00665267">
        <w:t xml:space="preserve"> H1080, §4.4; N.C. Gen. Stat. §§105-163.1(12a), 105-228.90(b</w:t>
      </w:r>
      <w:r w:rsidRPr="00665267">
        <w:t>)(9) and (10) and105-252.1.</w:t>
      </w:r>
    </w:p>
  </w:footnote>
  <w:footnote w:id="75">
    <w:p w14:paraId="18F2AD03" w14:textId="77777777" w:rsidR="00150929" w:rsidRPr="00665267" w:rsidRDefault="00150929">
      <w:pPr>
        <w:pStyle w:val="FootnoteText"/>
      </w:pPr>
      <w:r w:rsidRPr="00665267">
        <w:rPr>
          <w:rStyle w:val="FootnoteReference"/>
        </w:rPr>
        <w:footnoteRef/>
      </w:r>
      <w:r w:rsidRPr="00665267">
        <w:t xml:space="preserve"> H1080, §4.5; N.C. Gen. Stat. §105-241.13(b).</w:t>
      </w:r>
    </w:p>
  </w:footnote>
  <w:footnote w:id="76">
    <w:p w14:paraId="30E3FB12" w14:textId="77777777" w:rsidR="00150929" w:rsidRPr="00665267" w:rsidRDefault="00150929" w:rsidP="00887C32">
      <w:pPr>
        <w:pStyle w:val="FootnoteText"/>
      </w:pPr>
      <w:r w:rsidRPr="00665267">
        <w:rPr>
          <w:rStyle w:val="FootnoteReference"/>
        </w:rPr>
        <w:footnoteRef/>
      </w:r>
      <w:r w:rsidRPr="00665267">
        <w:t xml:space="preserve"> H1080, §4.5; N.C. Gen. Stat. §105-241.13(b) and (c). The summary of the bill prepared by the General Assembly’s Legislative Analysis Division states that this change “does not make a substantive difference.”</w:t>
      </w:r>
      <w:r w:rsidRPr="00665267">
        <w:rPr>
          <w:i/>
          <w:iCs/>
        </w:rPr>
        <w:t xml:space="preserve"> See General Assembly Legislative Analysis Division</w:t>
      </w:r>
      <w:r w:rsidRPr="00665267">
        <w:t>, Analysis of 2019-BAxfz-22A (May 13, 2020), at 7.</w:t>
      </w:r>
    </w:p>
  </w:footnote>
  <w:footnote w:id="77">
    <w:p w14:paraId="3523B71C" w14:textId="77777777" w:rsidR="00150929" w:rsidRDefault="00150929" w:rsidP="00887C32">
      <w:pPr>
        <w:shd w:val="clear" w:color="auto" w:fill="FFFFFF"/>
        <w:spacing w:after="0"/>
      </w:pPr>
      <w:r w:rsidRPr="00665267">
        <w:rPr>
          <w:rStyle w:val="FootnoteReference"/>
          <w:sz w:val="20"/>
          <w:szCs w:val="20"/>
        </w:rPr>
        <w:footnoteRef/>
      </w:r>
      <w:r w:rsidRPr="00665267">
        <w:rPr>
          <w:sz w:val="20"/>
          <w:szCs w:val="20"/>
        </w:rPr>
        <w:t xml:space="preserve"> </w:t>
      </w:r>
      <w:r w:rsidRPr="00665267">
        <w:rPr>
          <w:rFonts w:cs="Times New Roman"/>
          <w:i/>
          <w:iCs/>
          <w:color w:val="333333"/>
          <w:sz w:val="20"/>
          <w:szCs w:val="20"/>
        </w:rPr>
        <w:t>See</w:t>
      </w:r>
      <w:r w:rsidRPr="00665267">
        <w:rPr>
          <w:rFonts w:cs="Times New Roman"/>
          <w:color w:val="333333"/>
          <w:sz w:val="20"/>
          <w:szCs w:val="20"/>
        </w:rPr>
        <w:t> </w:t>
      </w:r>
      <w:r w:rsidRPr="00665267">
        <w:rPr>
          <w:rFonts w:cs="Times New Roman"/>
          <w:i/>
          <w:iCs/>
          <w:color w:val="333333"/>
          <w:sz w:val="20"/>
          <w:szCs w:val="20"/>
        </w:rPr>
        <w:t>Important Notice: </w:t>
      </w:r>
      <w:hyperlink r:id="rId1" w:tgtFrame="_blank" w:history="1">
        <w:r w:rsidRPr="00665267">
          <w:rPr>
            <w:rFonts w:cs="Times New Roman"/>
            <w:i/>
            <w:iCs/>
            <w:sz w:val="20"/>
            <w:szCs w:val="20"/>
            <w:u w:val="single"/>
          </w:rPr>
          <w:t>Department of Revenue Extends the Time to File Income and Franchise Tax Returns to July 15, 2020</w:t>
        </w:r>
      </w:hyperlink>
      <w:r w:rsidRPr="00665267">
        <w:rPr>
          <w:rFonts w:cs="Times New Roman"/>
          <w:sz w:val="20"/>
          <w:szCs w:val="20"/>
        </w:rPr>
        <w:t> </w:t>
      </w:r>
      <w:r w:rsidRPr="00665267">
        <w:rPr>
          <w:rFonts w:cs="Times New Roman"/>
          <w:color w:val="333333"/>
          <w:sz w:val="20"/>
          <w:szCs w:val="20"/>
        </w:rPr>
        <w:t>(March 23, 2020).</w:t>
      </w:r>
    </w:p>
  </w:footnote>
  <w:footnote w:id="78">
    <w:p w14:paraId="36347148" w14:textId="77777777" w:rsidR="00150929" w:rsidRDefault="00150929" w:rsidP="00887C32">
      <w:pPr>
        <w:pStyle w:val="FootnoteText"/>
      </w:pPr>
      <w:r>
        <w:rPr>
          <w:rStyle w:val="FootnoteReference"/>
        </w:rPr>
        <w:footnoteRef/>
      </w:r>
      <w:r>
        <w:t xml:space="preserve"> </w:t>
      </w:r>
      <w:r w:rsidRPr="008B2FD1">
        <w:rPr>
          <w:rFonts w:cs="Times New Roman"/>
          <w:i/>
          <w:iCs/>
          <w:color w:val="333333"/>
          <w:szCs w:val="24"/>
        </w:rPr>
        <w:t>See</w:t>
      </w:r>
      <w:r w:rsidRPr="008B2FD1">
        <w:rPr>
          <w:rFonts w:cs="Times New Roman"/>
          <w:color w:val="333333"/>
          <w:szCs w:val="24"/>
        </w:rPr>
        <w:t> </w:t>
      </w:r>
      <w:r w:rsidRPr="008B2FD1">
        <w:rPr>
          <w:rFonts w:cs="Times New Roman"/>
          <w:i/>
          <w:iCs/>
          <w:color w:val="333333"/>
          <w:szCs w:val="24"/>
        </w:rPr>
        <w:t>Important Notice: </w:t>
      </w:r>
      <w:hyperlink r:id="rId2" w:tgtFrame="_blank" w:history="1">
        <w:r w:rsidRPr="00887C32">
          <w:rPr>
            <w:rFonts w:cs="Times New Roman"/>
            <w:i/>
            <w:iCs/>
            <w:szCs w:val="24"/>
            <w:u w:val="single"/>
          </w:rPr>
          <w:t>Department of Revenue Provides Special Penalty Relief</w:t>
        </w:r>
      </w:hyperlink>
      <w:r w:rsidRPr="00887C32">
        <w:rPr>
          <w:rFonts w:cs="Times New Roman"/>
          <w:i/>
          <w:iCs/>
          <w:szCs w:val="24"/>
        </w:rPr>
        <w:t> </w:t>
      </w:r>
      <w:r w:rsidRPr="008B2FD1">
        <w:rPr>
          <w:rFonts w:cs="Times New Roman"/>
          <w:color w:val="333333"/>
          <w:szCs w:val="24"/>
        </w:rPr>
        <w:t>(March 19, 2020).</w:t>
      </w:r>
    </w:p>
  </w:footnote>
  <w:footnote w:id="79">
    <w:p w14:paraId="14EAB545" w14:textId="77777777" w:rsidR="00150929" w:rsidRDefault="00150929" w:rsidP="00887C32">
      <w:pPr>
        <w:pStyle w:val="FootnoteText"/>
      </w:pPr>
      <w:r>
        <w:rPr>
          <w:rStyle w:val="FootnoteReference"/>
        </w:rPr>
        <w:footnoteRef/>
      </w:r>
      <w:r>
        <w:t xml:space="preserve"> </w:t>
      </w:r>
      <w:r w:rsidRPr="008B2FD1">
        <w:rPr>
          <w:rFonts w:cs="Times New Roman"/>
          <w:i/>
          <w:iCs/>
          <w:color w:val="333333"/>
          <w:szCs w:val="24"/>
        </w:rPr>
        <w:t>See</w:t>
      </w:r>
      <w:r w:rsidRPr="008B2FD1">
        <w:rPr>
          <w:rFonts w:cs="Times New Roman"/>
          <w:color w:val="333333"/>
          <w:szCs w:val="24"/>
        </w:rPr>
        <w:t> </w:t>
      </w:r>
      <w:r w:rsidRPr="008B2FD1">
        <w:rPr>
          <w:rFonts w:cs="Times New Roman"/>
          <w:i/>
          <w:iCs/>
          <w:color w:val="333333"/>
          <w:szCs w:val="24"/>
        </w:rPr>
        <w:t>Important Notice: Department of Revenue Expands Penalty Relief for Taxpayers Affected by Coronavirus Disease 2019 (COVID-19)</w:t>
      </w:r>
      <w:r w:rsidRPr="008B2FD1">
        <w:rPr>
          <w:rFonts w:cs="Times New Roman"/>
          <w:color w:val="333333"/>
          <w:szCs w:val="24"/>
        </w:rPr>
        <w:t> (March 31, 2020).</w:t>
      </w:r>
    </w:p>
  </w:footnote>
  <w:footnote w:id="80">
    <w:p w14:paraId="0B38D0F1" w14:textId="77777777" w:rsidR="00150929" w:rsidRDefault="00150929" w:rsidP="00887C32">
      <w:pPr>
        <w:pStyle w:val="FootnoteText"/>
      </w:pPr>
      <w:r>
        <w:rPr>
          <w:rStyle w:val="FootnoteReference"/>
        </w:rPr>
        <w:footnoteRef/>
      </w:r>
      <w:r>
        <w:t xml:space="preserve"> </w:t>
      </w:r>
      <w:r w:rsidRPr="008B2FD1">
        <w:rPr>
          <w:rFonts w:cs="Times New Roman"/>
          <w:color w:val="333333"/>
          <w:szCs w:val="24"/>
        </w:rPr>
        <w:t>S.L. 2020-3, §1.1</w:t>
      </w:r>
      <w:r w:rsidRPr="008B2FD1">
        <w:rPr>
          <w:rFonts w:cs="Times New Roman"/>
          <w:color w:val="333333"/>
          <w:szCs w:val="24"/>
        </w:rPr>
        <w:t>.(a).</w:t>
      </w:r>
    </w:p>
  </w:footnote>
  <w:footnote w:id="81">
    <w:p w14:paraId="1DB45BDC" w14:textId="77777777" w:rsidR="00150929" w:rsidRDefault="00150929">
      <w:pPr>
        <w:pStyle w:val="FootnoteText"/>
      </w:pPr>
      <w:r>
        <w:rPr>
          <w:rStyle w:val="FootnoteReference"/>
        </w:rPr>
        <w:footnoteRef/>
      </w:r>
      <w:r>
        <w:t xml:space="preserve"> </w:t>
      </w:r>
      <w:r w:rsidRPr="008B2FD1">
        <w:rPr>
          <w:rFonts w:cs="Times New Roman"/>
          <w:color w:val="333333"/>
          <w:szCs w:val="24"/>
        </w:rPr>
        <w:t>S.L. 2020-3, §1.1</w:t>
      </w:r>
      <w:r w:rsidRPr="008B2FD1">
        <w:rPr>
          <w:rFonts w:cs="Times New Roman"/>
          <w:color w:val="333333"/>
          <w:szCs w:val="24"/>
        </w:rPr>
        <w:t>.(b).</w:t>
      </w:r>
    </w:p>
  </w:footnote>
  <w:footnote w:id="82">
    <w:p w14:paraId="2B34C424" w14:textId="77777777" w:rsidR="00150929" w:rsidRPr="00665267" w:rsidRDefault="00150929" w:rsidP="00665267">
      <w:pPr>
        <w:pStyle w:val="FootnoteText"/>
      </w:pPr>
      <w:r w:rsidRPr="00665267">
        <w:rPr>
          <w:rStyle w:val="FootnoteReference"/>
        </w:rPr>
        <w:footnoteRef/>
      </w:r>
      <w:r w:rsidRPr="00665267">
        <w:t xml:space="preserve"> </w:t>
      </w:r>
      <w:r w:rsidRPr="00665267">
        <w:rPr>
          <w:rFonts w:cs="Times New Roman"/>
          <w:color w:val="333333"/>
        </w:rPr>
        <w:t>S.L. 2020-3, §1.1</w:t>
      </w:r>
      <w:r w:rsidRPr="00665267">
        <w:rPr>
          <w:rFonts w:cs="Times New Roman"/>
          <w:color w:val="333333"/>
        </w:rPr>
        <w:t>.(c).</w:t>
      </w:r>
    </w:p>
  </w:footnote>
  <w:footnote w:id="83">
    <w:p w14:paraId="22555BEB" w14:textId="77777777" w:rsidR="00150929" w:rsidRPr="00665267" w:rsidRDefault="00150929" w:rsidP="00665267">
      <w:pPr>
        <w:shd w:val="clear" w:color="auto" w:fill="FFFFFF"/>
        <w:spacing w:after="0"/>
        <w:rPr>
          <w:sz w:val="20"/>
          <w:szCs w:val="20"/>
        </w:rPr>
      </w:pPr>
      <w:r w:rsidRPr="00665267">
        <w:rPr>
          <w:rStyle w:val="FootnoteReference"/>
          <w:sz w:val="20"/>
          <w:szCs w:val="20"/>
        </w:rPr>
        <w:footnoteRef/>
      </w:r>
      <w:r w:rsidRPr="00665267">
        <w:rPr>
          <w:sz w:val="20"/>
          <w:szCs w:val="20"/>
        </w:rPr>
        <w:t xml:space="preserve"> </w:t>
      </w:r>
      <w:r w:rsidRPr="00665267">
        <w:rPr>
          <w:rFonts w:cs="Times New Roman"/>
          <w:color w:val="333333"/>
          <w:sz w:val="20"/>
          <w:szCs w:val="20"/>
        </w:rPr>
        <w:t>These changes include provisions to ensure the program is administered flexibly, as encouraged by Congress under the </w:t>
      </w:r>
      <w:r w:rsidRPr="00665267">
        <w:rPr>
          <w:rFonts w:cs="Times New Roman"/>
          <w:i/>
          <w:iCs/>
          <w:color w:val="333333"/>
          <w:sz w:val="20"/>
          <w:szCs w:val="20"/>
        </w:rPr>
        <w:t>Families First Coronavirus Response Act,</w:t>
      </w:r>
      <w:r w:rsidRPr="00665267">
        <w:rPr>
          <w:rFonts w:cs="Times New Roman"/>
          <w:color w:val="333333"/>
          <w:sz w:val="20"/>
          <w:szCs w:val="20"/>
        </w:rPr>
        <w:t> and changes recommended by the Joint Legislative Oversight Committee on Unemployment Insurance.</w:t>
      </w:r>
    </w:p>
  </w:footnote>
  <w:footnote w:id="84">
    <w:p w14:paraId="3FB3FABF" w14:textId="77777777" w:rsidR="00150929" w:rsidRPr="00665267" w:rsidRDefault="00150929" w:rsidP="00665267">
      <w:pPr>
        <w:pStyle w:val="FootnoteText"/>
      </w:pPr>
      <w:r w:rsidRPr="00665267">
        <w:rPr>
          <w:rStyle w:val="FootnoteReference"/>
        </w:rPr>
        <w:footnoteRef/>
      </w:r>
      <w:r w:rsidRPr="00665267">
        <w:t xml:space="preserve"> S704</w:t>
      </w:r>
      <w:r w:rsidRPr="00665267">
        <w:rPr>
          <w:rFonts w:cs="Times New Roman"/>
          <w:color w:val="333333"/>
        </w:rPr>
        <w:t>, §1.2</w:t>
      </w:r>
      <w:r w:rsidRPr="00665267">
        <w:rPr>
          <w:rFonts w:cs="Times New Roman"/>
          <w:color w:val="333333"/>
        </w:rPr>
        <w:t>.(a).</w:t>
      </w:r>
    </w:p>
  </w:footnote>
  <w:footnote w:id="85">
    <w:p w14:paraId="76A749F3" w14:textId="77777777" w:rsidR="00150929" w:rsidRPr="00665267" w:rsidRDefault="00150929" w:rsidP="00665267">
      <w:pPr>
        <w:shd w:val="clear" w:color="auto" w:fill="FFFFFF"/>
        <w:spacing w:after="0"/>
        <w:rPr>
          <w:sz w:val="20"/>
          <w:szCs w:val="20"/>
        </w:rPr>
      </w:pPr>
      <w:r w:rsidRPr="00665267">
        <w:rPr>
          <w:rStyle w:val="FootnoteReference"/>
          <w:sz w:val="20"/>
          <w:szCs w:val="20"/>
        </w:rPr>
        <w:footnoteRef/>
      </w:r>
      <w:r w:rsidRPr="00665267">
        <w:rPr>
          <w:sz w:val="20"/>
          <w:szCs w:val="20"/>
        </w:rPr>
        <w:t xml:space="preserve"> </w:t>
      </w:r>
      <w:r w:rsidRPr="00665267">
        <w:rPr>
          <w:rFonts w:cs="Times New Roman"/>
          <w:color w:val="333333"/>
          <w:sz w:val="20"/>
          <w:szCs w:val="20"/>
        </w:rPr>
        <w:t>S704, §4.7</w:t>
      </w:r>
      <w:r w:rsidRPr="00665267">
        <w:rPr>
          <w:rFonts w:cs="Times New Roman"/>
          <w:color w:val="333333"/>
          <w:sz w:val="20"/>
          <w:szCs w:val="20"/>
        </w:rPr>
        <w:t>.(e).</w:t>
      </w:r>
    </w:p>
  </w:footnote>
  <w:footnote w:id="86">
    <w:p w14:paraId="0ACCE3F2" w14:textId="77777777" w:rsidR="00150929" w:rsidRPr="00665267" w:rsidRDefault="00150929" w:rsidP="00665267">
      <w:pPr>
        <w:spacing w:after="0"/>
        <w:rPr>
          <w:sz w:val="20"/>
          <w:szCs w:val="20"/>
        </w:rPr>
      </w:pPr>
      <w:r w:rsidRPr="00665267">
        <w:rPr>
          <w:rStyle w:val="FootnoteReference"/>
          <w:sz w:val="20"/>
          <w:szCs w:val="20"/>
        </w:rPr>
        <w:footnoteRef/>
      </w:r>
      <w:r w:rsidRPr="00665267">
        <w:rPr>
          <w:sz w:val="20"/>
          <w:szCs w:val="20"/>
        </w:rPr>
        <w:t xml:space="preserve"> H1080, §§2.1 through 2.13.</w:t>
      </w:r>
    </w:p>
  </w:footnote>
  <w:footnote w:id="87">
    <w:p w14:paraId="71516758" w14:textId="77777777" w:rsidR="00150929" w:rsidRPr="00665267" w:rsidRDefault="00150929" w:rsidP="00665267">
      <w:pPr>
        <w:spacing w:after="0"/>
        <w:rPr>
          <w:sz w:val="20"/>
          <w:szCs w:val="20"/>
        </w:rPr>
      </w:pPr>
      <w:r w:rsidRPr="00665267">
        <w:rPr>
          <w:rStyle w:val="FootnoteReference"/>
          <w:sz w:val="20"/>
          <w:szCs w:val="20"/>
        </w:rPr>
        <w:footnoteRef/>
      </w:r>
      <w:r w:rsidRPr="00665267">
        <w:rPr>
          <w:sz w:val="20"/>
          <w:szCs w:val="20"/>
        </w:rPr>
        <w:t xml:space="preserve"> H1080, §5.2.</w:t>
      </w:r>
    </w:p>
  </w:footnote>
  <w:footnote w:id="88">
    <w:p w14:paraId="5AF69028" w14:textId="77777777" w:rsidR="00150929" w:rsidRPr="00665267" w:rsidRDefault="00150929" w:rsidP="00665267">
      <w:pPr>
        <w:pStyle w:val="FootnoteText"/>
      </w:pPr>
      <w:r w:rsidRPr="00665267">
        <w:rPr>
          <w:rStyle w:val="FootnoteReference"/>
        </w:rPr>
        <w:footnoteRef/>
      </w:r>
      <w:r w:rsidRPr="00665267">
        <w:t xml:space="preserve"> H1080, §4.2 and 5.3.</w:t>
      </w:r>
    </w:p>
  </w:footnote>
  <w:footnote w:id="89">
    <w:p w14:paraId="40052BAB" w14:textId="77777777" w:rsidR="00150929" w:rsidRDefault="00150929" w:rsidP="001707A9">
      <w:pPr>
        <w:pStyle w:val="FootnoteText"/>
      </w:pPr>
      <w:r>
        <w:rPr>
          <w:rStyle w:val="FootnoteReference"/>
        </w:rPr>
        <w:footnoteRef/>
      </w:r>
      <w:r>
        <w:t xml:space="preserve"> </w:t>
      </w:r>
      <w:r w:rsidRPr="00F34E8F">
        <w:t>H1080. §5.5. Specifically, the 2017 Tax Cuts and Jobs Act required tax exempt organizations to increase their unrelated business taxable income by any amount paid or incurred by the exempt organization for qualified transportation fringe benefits, qualified parking or on-site athletic facilities. The 2018 Appropriations Act decoupled from this federal change as it related to parking facilities, such that, for North Carolina purposes, unrelated business taxable income would not include any amount paid or incurred for a parking facility that otherwise would have been taxable under the new federal law. Section 302 of Division Q of the federal Further Consolidated Appropriations Act, 2020 (P.L. 116-94)) repealed the TCJA provision retroactively, so that the North Carolina adjustment is no longer required.</w:t>
      </w:r>
    </w:p>
  </w:footnote>
  <w:footnote w:id="90">
    <w:p w14:paraId="2169107F" w14:textId="77777777" w:rsidR="00150929" w:rsidRPr="00665267" w:rsidRDefault="00150929" w:rsidP="00665267">
      <w:pPr>
        <w:spacing w:after="0"/>
        <w:rPr>
          <w:sz w:val="20"/>
          <w:szCs w:val="20"/>
        </w:rPr>
      </w:pPr>
      <w:r w:rsidRPr="00665267">
        <w:rPr>
          <w:rStyle w:val="FootnoteReference"/>
          <w:sz w:val="20"/>
          <w:szCs w:val="20"/>
        </w:rPr>
        <w:footnoteRef/>
      </w:r>
      <w:r w:rsidRPr="00665267">
        <w:rPr>
          <w:sz w:val="20"/>
          <w:szCs w:val="20"/>
        </w:rPr>
        <w:t xml:space="preserve"> H1080, §4.1, correcting a reference in N.C. Gen. Stat. §105-131.8 to N.C. Gen. Stat. §105-151, which was recodified in 2013 as N.C. Gen. Stat. §105-153.9.</w:t>
      </w:r>
    </w:p>
  </w:footnote>
  <w:footnote w:id="91">
    <w:p w14:paraId="56AA95A7" w14:textId="77777777" w:rsidR="00150929" w:rsidRPr="00665267" w:rsidRDefault="00150929" w:rsidP="00665267">
      <w:pPr>
        <w:pStyle w:val="FootnoteText"/>
      </w:pPr>
      <w:r w:rsidRPr="00665267">
        <w:rPr>
          <w:rStyle w:val="FootnoteReference"/>
        </w:rPr>
        <w:footnoteRef/>
      </w:r>
      <w:r w:rsidRPr="00665267">
        <w:t xml:space="preserve"> H1080, §6.5.</w:t>
      </w:r>
    </w:p>
  </w:footnote>
  <w:footnote w:id="92">
    <w:p w14:paraId="693C0660" w14:textId="77777777" w:rsidR="00150929" w:rsidRPr="00665267" w:rsidRDefault="00150929" w:rsidP="00665267">
      <w:pPr>
        <w:pStyle w:val="FootnoteText"/>
      </w:pPr>
      <w:r w:rsidRPr="00665267">
        <w:rPr>
          <w:rStyle w:val="FootnoteReference"/>
        </w:rPr>
        <w:footnoteRef/>
      </w:r>
      <w:r w:rsidRPr="00665267">
        <w:t xml:space="preserve"> H1080, §7.2.</w:t>
      </w:r>
    </w:p>
  </w:footnote>
  <w:footnote w:id="93">
    <w:p w14:paraId="3ECD817E" w14:textId="77777777" w:rsidR="00150929" w:rsidRDefault="00150929" w:rsidP="00665267">
      <w:pPr>
        <w:pStyle w:val="FootnoteText"/>
      </w:pPr>
      <w:r w:rsidRPr="00665267">
        <w:rPr>
          <w:rStyle w:val="FootnoteReference"/>
        </w:rPr>
        <w:footnoteRef/>
      </w:r>
      <w:r w:rsidRPr="00665267">
        <w:t xml:space="preserve"> H1080, §7.3.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83B"/>
    <w:multiLevelType w:val="multilevel"/>
    <w:tmpl w:val="6BB0CBDC"/>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tabs>
          <w:tab w:val="num" w:pos="720"/>
        </w:tabs>
        <w:ind w:left="0" w:firstLine="720"/>
      </w:pPr>
      <w:rPr>
        <w:rFonts w:hint="default"/>
      </w:rPr>
    </w:lvl>
    <w:lvl w:ilvl="2">
      <w:start w:val="1"/>
      <w:numFmt w:val="lowerLetter"/>
      <w:pStyle w:val="Heading3"/>
      <w:lvlText w:val="(%3)"/>
      <w:lvlJc w:val="left"/>
      <w:pPr>
        <w:tabs>
          <w:tab w:val="num" w:pos="17280"/>
        </w:tabs>
        <w:ind w:left="0" w:firstLine="1440"/>
      </w:pPr>
      <w:rPr>
        <w:rFonts w:hint="default"/>
      </w:rPr>
    </w:lvl>
    <w:lvl w:ilvl="3">
      <w:start w:val="1"/>
      <w:numFmt w:val="lowerRoman"/>
      <w:pStyle w:val="Heading4"/>
      <w:lvlText w:val="(%4)"/>
      <w:lvlJc w:val="right"/>
      <w:pPr>
        <w:tabs>
          <w:tab w:val="num" w:pos="2160"/>
        </w:tabs>
        <w:ind w:left="0" w:firstLine="2160"/>
      </w:pPr>
      <w:rPr>
        <w:rFonts w:hint="default"/>
      </w:rPr>
    </w:lvl>
    <w:lvl w:ilvl="4">
      <w:start w:val="1"/>
      <w:numFmt w:val="decimal"/>
      <w:pStyle w:val="Heading5"/>
      <w:lvlText w:val="%5)"/>
      <w:lvlJc w:val="left"/>
      <w:pPr>
        <w:ind w:left="720" w:firstLine="2160"/>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13F02334"/>
    <w:multiLevelType w:val="hybridMultilevel"/>
    <w:tmpl w:val="5EB0E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9B719A6"/>
    <w:multiLevelType w:val="multilevel"/>
    <w:tmpl w:val="3898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772CA"/>
    <w:multiLevelType w:val="hybridMultilevel"/>
    <w:tmpl w:val="F8E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10238"/>
    <w:multiLevelType w:val="multilevel"/>
    <w:tmpl w:val="904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35313"/>
    <w:multiLevelType w:val="multilevel"/>
    <w:tmpl w:val="9EC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71502"/>
    <w:multiLevelType w:val="multilevel"/>
    <w:tmpl w:val="660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F0BB6"/>
    <w:multiLevelType w:val="hybridMultilevel"/>
    <w:tmpl w:val="2C2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42ADC"/>
    <w:multiLevelType w:val="multilevel"/>
    <w:tmpl w:val="E48ED9BE"/>
    <w:lvl w:ilvl="0">
      <w:numFmt w:val="bullet"/>
      <w:lvlText w:val="·"/>
      <w:lvlJc w:val="left"/>
      <w:pPr>
        <w:tabs>
          <w:tab w:val="left" w:pos="360"/>
        </w:tabs>
      </w:pPr>
      <w:rPr>
        <w:rFonts w:ascii="Symbol" w:eastAsia="Symbol" w:hAnsi="Symbol"/>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5"/>
  </w:num>
  <w:num w:numId="5">
    <w:abstractNumId w:val="8"/>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8F"/>
    <w:rsid w:val="00007361"/>
    <w:rsid w:val="00011F2C"/>
    <w:rsid w:val="00027AD6"/>
    <w:rsid w:val="00042767"/>
    <w:rsid w:val="000A0E1F"/>
    <w:rsid w:val="00150929"/>
    <w:rsid w:val="001707A9"/>
    <w:rsid w:val="001C2850"/>
    <w:rsid w:val="001D5502"/>
    <w:rsid w:val="001F6468"/>
    <w:rsid w:val="002B5794"/>
    <w:rsid w:val="002D174B"/>
    <w:rsid w:val="00302790"/>
    <w:rsid w:val="003361A5"/>
    <w:rsid w:val="00365DD0"/>
    <w:rsid w:val="003A73C7"/>
    <w:rsid w:val="003A74F4"/>
    <w:rsid w:val="003F01C0"/>
    <w:rsid w:val="004877F4"/>
    <w:rsid w:val="00523BDB"/>
    <w:rsid w:val="00535C82"/>
    <w:rsid w:val="0054668F"/>
    <w:rsid w:val="005D2A2F"/>
    <w:rsid w:val="005E6AEF"/>
    <w:rsid w:val="005F58AC"/>
    <w:rsid w:val="00636F9E"/>
    <w:rsid w:val="00665267"/>
    <w:rsid w:val="0067219E"/>
    <w:rsid w:val="006D0DAA"/>
    <w:rsid w:val="007B7933"/>
    <w:rsid w:val="0087569F"/>
    <w:rsid w:val="00887C32"/>
    <w:rsid w:val="00893EEC"/>
    <w:rsid w:val="00897ED2"/>
    <w:rsid w:val="008D199E"/>
    <w:rsid w:val="008F3B24"/>
    <w:rsid w:val="009A0992"/>
    <w:rsid w:val="009B2A63"/>
    <w:rsid w:val="009D5A32"/>
    <w:rsid w:val="00A17473"/>
    <w:rsid w:val="00AD597B"/>
    <w:rsid w:val="00AD71A2"/>
    <w:rsid w:val="00B20D55"/>
    <w:rsid w:val="00B520CD"/>
    <w:rsid w:val="00C241DF"/>
    <w:rsid w:val="00C95909"/>
    <w:rsid w:val="00CA6FB0"/>
    <w:rsid w:val="00CC0190"/>
    <w:rsid w:val="00D16736"/>
    <w:rsid w:val="00D84A77"/>
    <w:rsid w:val="00E9428C"/>
    <w:rsid w:val="00EB2751"/>
    <w:rsid w:val="00EC27B5"/>
    <w:rsid w:val="00EC61A6"/>
    <w:rsid w:val="00F15FC0"/>
    <w:rsid w:val="00F34E8F"/>
    <w:rsid w:val="00F87ECF"/>
    <w:rsid w:val="00FE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86E3"/>
  <w15:chartTrackingRefBased/>
  <w15:docId w15:val="{0680CDD7-ADF1-47F3-952C-FA138882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FE0911"/>
    <w:pPr>
      <w:keepNext/>
      <w:keepLines/>
      <w:numPr>
        <w:numId w:val="6"/>
      </w:numPr>
      <w:spacing w:after="240"/>
      <w:outlineLvl w:val="0"/>
    </w:pPr>
    <w:rPr>
      <w:rFonts w:eastAsia="Times New Roman" w:cs="Arial"/>
      <w:bCs/>
      <w:szCs w:val="32"/>
      <w:lang w:bidi="en-US"/>
    </w:rPr>
  </w:style>
  <w:style w:type="paragraph" w:styleId="Heading2">
    <w:name w:val="heading 2"/>
    <w:basedOn w:val="Normal"/>
    <w:link w:val="Heading2Char"/>
    <w:uiPriority w:val="1"/>
    <w:qFormat/>
    <w:rsid w:val="00FE0911"/>
    <w:pPr>
      <w:numPr>
        <w:ilvl w:val="1"/>
        <w:numId w:val="6"/>
      </w:numPr>
      <w:spacing w:after="240"/>
      <w:outlineLvl w:val="1"/>
    </w:pPr>
    <w:rPr>
      <w:rFonts w:eastAsia="Times New Roman" w:cs="Arial"/>
      <w:bCs/>
      <w:iCs/>
      <w:szCs w:val="28"/>
      <w:lang w:bidi="en-US"/>
    </w:rPr>
  </w:style>
  <w:style w:type="paragraph" w:styleId="Heading3">
    <w:name w:val="heading 3"/>
    <w:basedOn w:val="Normal"/>
    <w:link w:val="Heading3Char"/>
    <w:uiPriority w:val="9"/>
    <w:qFormat/>
    <w:rsid w:val="00FE0911"/>
    <w:pPr>
      <w:numPr>
        <w:ilvl w:val="2"/>
        <w:numId w:val="6"/>
      </w:numPr>
      <w:spacing w:after="240"/>
      <w:outlineLvl w:val="2"/>
    </w:pPr>
    <w:rPr>
      <w:rFonts w:eastAsia="Times New Roman" w:cs="Arial"/>
      <w:bCs/>
      <w:szCs w:val="26"/>
      <w:lang w:bidi="en-US"/>
    </w:rPr>
  </w:style>
  <w:style w:type="paragraph" w:styleId="Heading4">
    <w:name w:val="heading 4"/>
    <w:basedOn w:val="Normal"/>
    <w:link w:val="Heading4Char"/>
    <w:uiPriority w:val="1"/>
    <w:qFormat/>
    <w:rsid w:val="00FE0911"/>
    <w:pPr>
      <w:numPr>
        <w:ilvl w:val="3"/>
        <w:numId w:val="6"/>
      </w:numPr>
      <w:spacing w:after="240"/>
      <w:outlineLvl w:val="3"/>
    </w:pPr>
    <w:rPr>
      <w:rFonts w:eastAsia="Times New Roman" w:cs="Times New Roman"/>
      <w:bCs/>
      <w:szCs w:val="28"/>
      <w:lang w:bidi="en-US"/>
    </w:rPr>
  </w:style>
  <w:style w:type="paragraph" w:styleId="Heading5">
    <w:name w:val="heading 5"/>
    <w:basedOn w:val="Normal"/>
    <w:link w:val="Heading5Char"/>
    <w:uiPriority w:val="1"/>
    <w:rsid w:val="00FE0911"/>
    <w:pPr>
      <w:numPr>
        <w:ilvl w:val="4"/>
        <w:numId w:val="6"/>
      </w:numPr>
      <w:spacing w:after="240"/>
      <w:outlineLvl w:val="4"/>
    </w:pPr>
    <w:rPr>
      <w:rFonts w:eastAsia="Times New Roman" w:cs="Times New Roman"/>
      <w:bCs/>
      <w:iCs/>
      <w:szCs w:val="26"/>
      <w:lang w:bidi="en-US"/>
    </w:rPr>
  </w:style>
  <w:style w:type="paragraph" w:styleId="Heading6">
    <w:name w:val="heading 6"/>
    <w:basedOn w:val="Normal"/>
    <w:link w:val="Heading6Char"/>
    <w:uiPriority w:val="1"/>
    <w:rsid w:val="00FE0911"/>
    <w:pPr>
      <w:numPr>
        <w:ilvl w:val="5"/>
        <w:numId w:val="6"/>
      </w:numPr>
      <w:spacing w:after="240"/>
      <w:outlineLvl w:val="5"/>
    </w:pPr>
    <w:rPr>
      <w:rFonts w:eastAsia="Times New Roman" w:cs="Times New Roman"/>
      <w:bCs/>
      <w:szCs w:val="20"/>
      <w:lang w:bidi="en-US"/>
    </w:rPr>
  </w:style>
  <w:style w:type="paragraph" w:styleId="Heading7">
    <w:name w:val="heading 7"/>
    <w:basedOn w:val="Normal"/>
    <w:link w:val="Heading7Char"/>
    <w:uiPriority w:val="1"/>
    <w:rsid w:val="00FE0911"/>
    <w:pPr>
      <w:numPr>
        <w:ilvl w:val="6"/>
        <w:numId w:val="6"/>
      </w:numPr>
      <w:spacing w:after="240"/>
      <w:outlineLvl w:val="6"/>
    </w:pPr>
    <w:rPr>
      <w:rFonts w:eastAsia="Times New Roman" w:cs="Times New Roman"/>
      <w:szCs w:val="20"/>
      <w:lang w:bidi="en-US"/>
    </w:rPr>
  </w:style>
  <w:style w:type="paragraph" w:styleId="Heading8">
    <w:name w:val="heading 8"/>
    <w:basedOn w:val="Normal"/>
    <w:link w:val="Heading8Char"/>
    <w:uiPriority w:val="1"/>
    <w:rsid w:val="00FE0911"/>
    <w:pPr>
      <w:numPr>
        <w:ilvl w:val="7"/>
        <w:numId w:val="6"/>
      </w:numPr>
      <w:spacing w:after="240"/>
      <w:outlineLvl w:val="7"/>
    </w:pPr>
    <w:rPr>
      <w:rFonts w:eastAsia="Times New Roman" w:cs="Times New Roman"/>
      <w:szCs w:val="20"/>
      <w:lang w:bidi="en-US"/>
    </w:rPr>
  </w:style>
  <w:style w:type="paragraph" w:styleId="Heading9">
    <w:name w:val="heading 9"/>
    <w:basedOn w:val="Normal"/>
    <w:link w:val="Heading9Char"/>
    <w:uiPriority w:val="1"/>
    <w:rsid w:val="00FE0911"/>
    <w:pPr>
      <w:numPr>
        <w:ilvl w:val="8"/>
        <w:numId w:val="6"/>
      </w:numPr>
      <w:spacing w:after="240"/>
      <w:outlineLvl w:val="8"/>
    </w:pPr>
    <w:rPr>
      <w:rFonts w:eastAsia="Times New Roman" w:cs="Arial"/>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E8F"/>
    <w:rPr>
      <w:color w:val="0563C1" w:themeColor="hyperlink"/>
      <w:u w:val="single"/>
    </w:rPr>
  </w:style>
  <w:style w:type="paragraph" w:styleId="FootnoteText">
    <w:name w:val="footnote text"/>
    <w:basedOn w:val="Normal"/>
    <w:link w:val="FootnoteTextChar"/>
    <w:uiPriority w:val="99"/>
    <w:semiHidden/>
    <w:unhideWhenUsed/>
    <w:rsid w:val="008D199E"/>
    <w:pPr>
      <w:spacing w:after="0"/>
    </w:pPr>
    <w:rPr>
      <w:sz w:val="20"/>
      <w:szCs w:val="20"/>
    </w:rPr>
  </w:style>
  <w:style w:type="character" w:customStyle="1" w:styleId="FootnoteTextChar">
    <w:name w:val="Footnote Text Char"/>
    <w:basedOn w:val="DefaultParagraphFont"/>
    <w:link w:val="FootnoteText"/>
    <w:uiPriority w:val="99"/>
    <w:semiHidden/>
    <w:rsid w:val="008D199E"/>
    <w:rPr>
      <w:sz w:val="20"/>
      <w:szCs w:val="20"/>
    </w:rPr>
  </w:style>
  <w:style w:type="character" w:styleId="FootnoteReference">
    <w:name w:val="footnote reference"/>
    <w:basedOn w:val="DefaultParagraphFont"/>
    <w:uiPriority w:val="99"/>
    <w:semiHidden/>
    <w:unhideWhenUsed/>
    <w:rsid w:val="008D199E"/>
    <w:rPr>
      <w:vertAlign w:val="superscript"/>
    </w:rPr>
  </w:style>
  <w:style w:type="character" w:customStyle="1" w:styleId="Heading1Char">
    <w:name w:val="Heading 1 Char"/>
    <w:basedOn w:val="DefaultParagraphFont"/>
    <w:link w:val="Heading1"/>
    <w:uiPriority w:val="1"/>
    <w:rsid w:val="00FE0911"/>
    <w:rPr>
      <w:rFonts w:eastAsia="Times New Roman" w:cs="Arial"/>
      <w:bCs/>
      <w:szCs w:val="32"/>
      <w:lang w:bidi="en-US"/>
    </w:rPr>
  </w:style>
  <w:style w:type="character" w:customStyle="1" w:styleId="Heading2Char">
    <w:name w:val="Heading 2 Char"/>
    <w:basedOn w:val="DefaultParagraphFont"/>
    <w:link w:val="Heading2"/>
    <w:uiPriority w:val="1"/>
    <w:rsid w:val="00FE0911"/>
    <w:rPr>
      <w:rFonts w:eastAsia="Times New Roman" w:cs="Arial"/>
      <w:bCs/>
      <w:iCs/>
      <w:szCs w:val="28"/>
      <w:lang w:bidi="en-US"/>
    </w:rPr>
  </w:style>
  <w:style w:type="character" w:customStyle="1" w:styleId="Heading3Char">
    <w:name w:val="Heading 3 Char"/>
    <w:basedOn w:val="DefaultParagraphFont"/>
    <w:link w:val="Heading3"/>
    <w:uiPriority w:val="9"/>
    <w:rsid w:val="00FE0911"/>
    <w:rPr>
      <w:rFonts w:eastAsia="Times New Roman" w:cs="Arial"/>
      <w:bCs/>
      <w:szCs w:val="26"/>
      <w:lang w:bidi="en-US"/>
    </w:rPr>
  </w:style>
  <w:style w:type="character" w:customStyle="1" w:styleId="Heading4Char">
    <w:name w:val="Heading 4 Char"/>
    <w:basedOn w:val="DefaultParagraphFont"/>
    <w:link w:val="Heading4"/>
    <w:uiPriority w:val="1"/>
    <w:rsid w:val="00FE0911"/>
    <w:rPr>
      <w:rFonts w:eastAsia="Times New Roman" w:cs="Times New Roman"/>
      <w:bCs/>
      <w:szCs w:val="28"/>
      <w:lang w:bidi="en-US"/>
    </w:rPr>
  </w:style>
  <w:style w:type="character" w:customStyle="1" w:styleId="Heading5Char">
    <w:name w:val="Heading 5 Char"/>
    <w:basedOn w:val="DefaultParagraphFont"/>
    <w:link w:val="Heading5"/>
    <w:uiPriority w:val="1"/>
    <w:rsid w:val="00FE0911"/>
    <w:rPr>
      <w:rFonts w:eastAsia="Times New Roman" w:cs="Times New Roman"/>
      <w:bCs/>
      <w:iCs/>
      <w:szCs w:val="26"/>
      <w:lang w:bidi="en-US"/>
    </w:rPr>
  </w:style>
  <w:style w:type="character" w:customStyle="1" w:styleId="Heading6Char">
    <w:name w:val="Heading 6 Char"/>
    <w:basedOn w:val="DefaultParagraphFont"/>
    <w:link w:val="Heading6"/>
    <w:uiPriority w:val="1"/>
    <w:rsid w:val="00FE0911"/>
    <w:rPr>
      <w:rFonts w:eastAsia="Times New Roman" w:cs="Times New Roman"/>
      <w:bCs/>
      <w:szCs w:val="20"/>
      <w:lang w:bidi="en-US"/>
    </w:rPr>
  </w:style>
  <w:style w:type="character" w:customStyle="1" w:styleId="Heading7Char">
    <w:name w:val="Heading 7 Char"/>
    <w:basedOn w:val="DefaultParagraphFont"/>
    <w:link w:val="Heading7"/>
    <w:uiPriority w:val="1"/>
    <w:rsid w:val="00FE0911"/>
    <w:rPr>
      <w:rFonts w:eastAsia="Times New Roman" w:cs="Times New Roman"/>
      <w:szCs w:val="20"/>
      <w:lang w:bidi="en-US"/>
    </w:rPr>
  </w:style>
  <w:style w:type="character" w:customStyle="1" w:styleId="Heading8Char">
    <w:name w:val="Heading 8 Char"/>
    <w:basedOn w:val="DefaultParagraphFont"/>
    <w:link w:val="Heading8"/>
    <w:uiPriority w:val="1"/>
    <w:rsid w:val="00FE0911"/>
    <w:rPr>
      <w:rFonts w:eastAsia="Times New Roman" w:cs="Times New Roman"/>
      <w:szCs w:val="20"/>
      <w:lang w:bidi="en-US"/>
    </w:rPr>
  </w:style>
  <w:style w:type="character" w:customStyle="1" w:styleId="Heading9Char">
    <w:name w:val="Heading 9 Char"/>
    <w:basedOn w:val="DefaultParagraphFont"/>
    <w:link w:val="Heading9"/>
    <w:uiPriority w:val="1"/>
    <w:rsid w:val="00FE0911"/>
    <w:rPr>
      <w:rFonts w:eastAsia="Times New Roman" w:cs="Arial"/>
      <w:szCs w:val="20"/>
      <w:lang w:bidi="en-US"/>
    </w:rPr>
  </w:style>
  <w:style w:type="paragraph" w:styleId="BodyText">
    <w:name w:val="Body Text"/>
    <w:basedOn w:val="Normal"/>
    <w:link w:val="BodyTextChar"/>
    <w:uiPriority w:val="99"/>
    <w:semiHidden/>
    <w:unhideWhenUsed/>
    <w:rsid w:val="00FE0911"/>
    <w:pPr>
      <w:spacing w:after="120"/>
    </w:pPr>
  </w:style>
  <w:style w:type="character" w:customStyle="1" w:styleId="BodyTextChar">
    <w:name w:val="Body Text Char"/>
    <w:basedOn w:val="DefaultParagraphFont"/>
    <w:link w:val="BodyText"/>
    <w:uiPriority w:val="99"/>
    <w:semiHidden/>
    <w:rsid w:val="00FE0911"/>
  </w:style>
  <w:style w:type="paragraph" w:styleId="EndnoteText">
    <w:name w:val="endnote text"/>
    <w:basedOn w:val="Normal"/>
    <w:link w:val="EndnoteTextChar"/>
    <w:uiPriority w:val="99"/>
    <w:semiHidden/>
    <w:unhideWhenUsed/>
    <w:rsid w:val="001707A9"/>
    <w:pPr>
      <w:spacing w:after="0"/>
    </w:pPr>
    <w:rPr>
      <w:sz w:val="20"/>
      <w:szCs w:val="20"/>
    </w:rPr>
  </w:style>
  <w:style w:type="character" w:customStyle="1" w:styleId="EndnoteTextChar">
    <w:name w:val="Endnote Text Char"/>
    <w:basedOn w:val="DefaultParagraphFont"/>
    <w:link w:val="EndnoteText"/>
    <w:uiPriority w:val="99"/>
    <w:semiHidden/>
    <w:rsid w:val="001707A9"/>
    <w:rPr>
      <w:sz w:val="20"/>
      <w:szCs w:val="20"/>
    </w:rPr>
  </w:style>
  <w:style w:type="character" w:styleId="EndnoteReference">
    <w:name w:val="endnote reference"/>
    <w:basedOn w:val="DefaultParagraphFont"/>
    <w:uiPriority w:val="99"/>
    <w:semiHidden/>
    <w:unhideWhenUsed/>
    <w:rsid w:val="001707A9"/>
    <w:rPr>
      <w:vertAlign w:val="superscript"/>
    </w:rPr>
  </w:style>
  <w:style w:type="paragraph" w:styleId="ListParagraph">
    <w:name w:val="List Paragraph"/>
    <w:basedOn w:val="Normal"/>
    <w:uiPriority w:val="34"/>
    <w:qFormat/>
    <w:rsid w:val="009B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ncdor.gov/documents/important-notice-department-revenue-provides-special-penalty-relief" TargetMode="External"/><Relationship Id="rId1" Type="http://schemas.openxmlformats.org/officeDocument/2006/relationships/hyperlink" Target="https://www.ncdor.gov/news/press-releases/2020/03/23/tax-filing-deadline-extended-july-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5731</Words>
  <Characters>32672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Carly Rutledge</dc:creator>
  <cp:keywords>
  </cp:keywords>
  <dc:description>
  </dc:description>
  <cp:lastModifiedBy>Carly Rutledge</cp:lastModifiedBy>
  <cp:revision>2</cp:revision>
  <dcterms:created xsi:type="dcterms:W3CDTF">2020-06-29T13:56:00Z</dcterms:created>
  <dcterms:modified xsi:type="dcterms:W3CDTF">2020-06-29T13:56:00Z</dcterms:modified>
</cp:coreProperties>
</file>